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93" w:rsidRDefault="002B29D8">
      <w:r>
        <w:rPr>
          <w:noProof/>
          <w:lang w:eastAsia="pl-PL"/>
        </w:rPr>
        <w:drawing>
          <wp:inline distT="0" distB="0" distL="0" distR="0">
            <wp:extent cx="5760720" cy="602135"/>
            <wp:effectExtent l="0" t="0" r="0" b="7620"/>
            <wp:docPr id="1" name="Obraz 1" descr="C:\Users\K.Urbanska\AppData\Local\Microsoft\Windows\Temporary Internet Files\Content.Outlook\IG20LXD2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Urbanska\AppData\Local\Microsoft\Windows\Temporary Internet Files\Content.Outlook\IG20LXD2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D8" w:rsidRDefault="002B29D8"/>
    <w:p w:rsidR="002B29D8" w:rsidRPr="002B29D8" w:rsidRDefault="002B29D8" w:rsidP="002B29D8">
      <w:pPr>
        <w:jc w:val="right"/>
        <w:rPr>
          <w:rFonts w:eastAsia="Calibri" w:cs="Times New Roman"/>
          <w:sz w:val="24"/>
          <w:szCs w:val="24"/>
        </w:rPr>
      </w:pPr>
      <w:r w:rsidRPr="002B29D8">
        <w:rPr>
          <w:rFonts w:eastAsia="Calibri" w:cs="Times New Roman"/>
          <w:sz w:val="24"/>
          <w:szCs w:val="24"/>
        </w:rPr>
        <w:t>Toruń, dn. 30.08.2017 r.</w:t>
      </w:r>
    </w:p>
    <w:tbl>
      <w:tblPr>
        <w:tblW w:w="10882" w:type="dxa"/>
        <w:tblInd w:w="-601" w:type="dxa"/>
        <w:tblLook w:val="04A0" w:firstRow="1" w:lastRow="0" w:firstColumn="1" w:lastColumn="0" w:noHBand="0" w:noVBand="1"/>
      </w:tblPr>
      <w:tblGrid>
        <w:gridCol w:w="3638"/>
        <w:gridCol w:w="3015"/>
        <w:gridCol w:w="4229"/>
      </w:tblGrid>
      <w:tr w:rsidR="002B29D8" w:rsidRPr="002B29D8" w:rsidTr="008B4347">
        <w:trPr>
          <w:trHeight w:val="659"/>
        </w:trPr>
        <w:tc>
          <w:tcPr>
            <w:tcW w:w="3638" w:type="dxa"/>
          </w:tcPr>
          <w:p w:rsidR="002B29D8" w:rsidRPr="002B29D8" w:rsidRDefault="002B29D8" w:rsidP="002B29D8">
            <w:pPr>
              <w:suppressAutoHyphens/>
              <w:spacing w:after="0" w:line="240" w:lineRule="auto"/>
              <w:ind w:firstLine="2586"/>
              <w:rPr>
                <w:rFonts w:eastAsia="Lucida Sans Unicode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15" w:type="dxa"/>
          </w:tcPr>
          <w:p w:rsidR="002B29D8" w:rsidRPr="002B29D8" w:rsidRDefault="002B29D8" w:rsidP="002B29D8">
            <w:pPr>
              <w:suppressAutoHyphens/>
              <w:rPr>
                <w:rFonts w:eastAsia="Lucida Sans Unicode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9" w:type="dxa"/>
          </w:tcPr>
          <w:p w:rsidR="002B29D8" w:rsidRPr="002B29D8" w:rsidRDefault="002B29D8" w:rsidP="002B29D8">
            <w:pPr>
              <w:suppressAutoHyphens/>
              <w:spacing w:after="0" w:line="240" w:lineRule="auto"/>
              <w:rPr>
                <w:rFonts w:eastAsia="Lucida Sans Unicode" w:cs="Times New Roman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B29D8" w:rsidRPr="002B29D8" w:rsidRDefault="002B29D8" w:rsidP="002B29D8">
      <w:pPr>
        <w:rPr>
          <w:rFonts w:eastAsia="Calibri" w:cs="Times New Roman"/>
          <w:sz w:val="24"/>
          <w:szCs w:val="24"/>
        </w:rPr>
      </w:pPr>
      <w:r w:rsidRPr="002B29D8">
        <w:rPr>
          <w:rFonts w:eastAsia="Lucida Sans Unicode" w:cs="Times New Roman"/>
          <w:sz w:val="24"/>
          <w:szCs w:val="24"/>
        </w:rPr>
        <w:t>INFORMACJA</w:t>
      </w:r>
      <w:r w:rsidRPr="002B29D8">
        <w:rPr>
          <w:rFonts w:eastAsia="Calibri" w:cs="Times New Roman"/>
          <w:sz w:val="24"/>
          <w:szCs w:val="24"/>
        </w:rPr>
        <w:t xml:space="preserve"> O WYBORZE DOSTAWCY </w:t>
      </w:r>
    </w:p>
    <w:p w:rsidR="002B29D8" w:rsidRPr="002B29D8" w:rsidRDefault="002B29D8" w:rsidP="002B29D8">
      <w:pPr>
        <w:rPr>
          <w:rFonts w:eastAsia="Calibri" w:cs="Times New Roman"/>
          <w:sz w:val="24"/>
          <w:szCs w:val="24"/>
          <w:u w:val="single"/>
        </w:rPr>
      </w:pPr>
      <w:r w:rsidRPr="002B29D8">
        <w:rPr>
          <w:rFonts w:eastAsia="Calibri" w:cs="Times New Roman"/>
          <w:sz w:val="24"/>
          <w:szCs w:val="24"/>
          <w:u w:val="single"/>
        </w:rPr>
        <w:t>Dotyczy: zakupu i dostawy mebli biurowych dla Toruńskiej Agencji Rozwoju Regionalnego S.A.</w:t>
      </w:r>
    </w:p>
    <w:p w:rsidR="002B29D8" w:rsidRDefault="002B29D8" w:rsidP="002B29D8">
      <w:r w:rsidRPr="002B29D8">
        <w:rPr>
          <w:rFonts w:eastAsia="Calibri" w:cs="Times New Roman"/>
          <w:sz w:val="24"/>
          <w:szCs w:val="24"/>
        </w:rPr>
        <w:t>Toruńska Agencja Roz</w:t>
      </w:r>
      <w:r w:rsidRPr="002B29D8">
        <w:rPr>
          <w:rFonts w:eastAsia="Calibri" w:cs="Times New Roman"/>
          <w:sz w:val="24"/>
          <w:szCs w:val="24"/>
        </w:rPr>
        <w:softHyphen/>
        <w:t>woju Region</w:t>
      </w:r>
      <w:r w:rsidRPr="002B29D8">
        <w:rPr>
          <w:rFonts w:eastAsia="Calibri" w:cs="Times New Roman"/>
          <w:sz w:val="24"/>
          <w:szCs w:val="24"/>
        </w:rPr>
        <w:softHyphen/>
        <w:t>al</w:t>
      </w:r>
      <w:r w:rsidRPr="002B29D8">
        <w:rPr>
          <w:rFonts w:eastAsia="Calibri" w:cs="Times New Roman"/>
          <w:sz w:val="24"/>
          <w:szCs w:val="24"/>
        </w:rPr>
        <w:softHyphen/>
        <w:t>nego S.A. z siedz</w:t>
      </w:r>
      <w:r w:rsidRPr="002B29D8">
        <w:rPr>
          <w:rFonts w:eastAsia="Calibri" w:cs="Times New Roman"/>
          <w:sz w:val="24"/>
          <w:szCs w:val="24"/>
        </w:rPr>
        <w:softHyphen/>
        <w:t>ibą w Toruniu, ul. Włocławska 167, 87–100 Toruń infor</w:t>
      </w:r>
      <w:r w:rsidRPr="002B29D8">
        <w:rPr>
          <w:rFonts w:eastAsia="Calibri" w:cs="Times New Roman"/>
          <w:sz w:val="24"/>
          <w:szCs w:val="24"/>
        </w:rPr>
        <w:softHyphen/>
        <w:t>muje, iż w wyniku weryfikacji otrzymanych ofert na „Z</w:t>
      </w:r>
      <w:r w:rsidRPr="002B29D8">
        <w:rPr>
          <w:rFonts w:ascii="Calibri" w:eastAsia="Calibri" w:hAnsi="Calibri" w:cs="Times New Roman"/>
          <w:sz w:val="24"/>
          <w:szCs w:val="24"/>
        </w:rPr>
        <w:t>akup i dostawę mebli biurowych dla Toruńskiej Agencji Rozwoju Regionalnego S.A.”</w:t>
      </w:r>
      <w:r w:rsidRPr="002B29D8">
        <w:rPr>
          <w:rFonts w:eastAsia="Calibri" w:cs="Times New Roman"/>
          <w:sz w:val="24"/>
          <w:szCs w:val="24"/>
        </w:rPr>
        <w:t xml:space="preserve"> za najkorzystniejszą została uznana oferta firmy Towarzystwo Gospodarcze Piotr Surowy Bydgoszcz.</w:t>
      </w:r>
      <w:bookmarkStart w:id="0" w:name="_GoBack"/>
      <w:bookmarkEnd w:id="0"/>
    </w:p>
    <w:sectPr w:rsidR="002B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D8"/>
    <w:rsid w:val="002B29D8"/>
    <w:rsid w:val="0060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K.Urbanska</dc:creator>
  <cp:lastModifiedBy>K.Urbanska</cp:lastModifiedBy>
  <cp:revision>1</cp:revision>
  <dcterms:created xsi:type="dcterms:W3CDTF">2017-08-30T12:02:00Z</dcterms:created>
  <dcterms:modified xsi:type="dcterms:W3CDTF">2017-08-30T12:03:00Z</dcterms:modified>
</cp:coreProperties>
</file>