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04" w:rsidRDefault="008E5904" w:rsidP="008547CB">
      <w:pPr>
        <w:rPr>
          <w:color w:val="1F497D"/>
        </w:rPr>
      </w:pPr>
    </w:p>
    <w:p w:rsidR="008E5904" w:rsidRDefault="008E5904" w:rsidP="008547CB">
      <w:pPr>
        <w:rPr>
          <w:color w:val="1F497D"/>
        </w:rPr>
      </w:pPr>
    </w:p>
    <w:p w:rsidR="008E5904" w:rsidRPr="008E5904" w:rsidRDefault="008E5904" w:rsidP="008E5904">
      <w:pPr>
        <w:jc w:val="right"/>
      </w:pPr>
      <w:r w:rsidRPr="008E5904">
        <w:t>Toruń , dnia 28.06.2018</w:t>
      </w:r>
    </w:p>
    <w:p w:rsidR="008E5904" w:rsidRPr="008E5904" w:rsidRDefault="008E5904" w:rsidP="008547CB"/>
    <w:p w:rsidR="008E5904" w:rsidRDefault="008E5904" w:rsidP="008E5904">
      <w:pPr>
        <w:jc w:val="center"/>
        <w:rPr>
          <w:b/>
        </w:rPr>
      </w:pPr>
      <w:r w:rsidRPr="008E5904">
        <w:rPr>
          <w:b/>
        </w:rPr>
        <w:t xml:space="preserve">ODPOWIEDZI NA ZAPYTANIA WYKONAWCÓW DO TREŚCI SIWZ </w:t>
      </w:r>
    </w:p>
    <w:p w:rsidR="00A254C9" w:rsidRPr="00A254C9" w:rsidRDefault="00A254C9" w:rsidP="008E5904">
      <w:pPr>
        <w:jc w:val="center"/>
        <w:rPr>
          <w:b/>
        </w:rPr>
      </w:pPr>
      <w:r w:rsidRPr="00A254C9">
        <w:rPr>
          <w:b/>
        </w:rPr>
        <w:t>ZMIANA TREŚCI SIWZ</w:t>
      </w:r>
    </w:p>
    <w:p w:rsidR="00A254C9" w:rsidRPr="00A254C9" w:rsidRDefault="00A254C9" w:rsidP="008E5904">
      <w:pPr>
        <w:jc w:val="center"/>
        <w:rPr>
          <w:b/>
        </w:rPr>
      </w:pPr>
      <w:r w:rsidRPr="00A254C9">
        <w:rPr>
          <w:b/>
        </w:rPr>
        <w:t>ZMIANA TERMINU SKŁADANIA OFERT</w:t>
      </w:r>
    </w:p>
    <w:p w:rsidR="008E5904" w:rsidRPr="008E5904" w:rsidRDefault="001F5E47" w:rsidP="008E5904">
      <w:pPr>
        <w:jc w:val="center"/>
        <w:rPr>
          <w:rFonts w:asciiTheme="minorHAnsi" w:hAnsiTheme="minorHAnsi" w:cs="Segoe UI Light"/>
        </w:rPr>
      </w:pPr>
      <w:r>
        <w:rPr>
          <w:rFonts w:asciiTheme="minorHAnsi" w:hAnsiTheme="minorHAnsi"/>
        </w:rPr>
        <w:t>w</w:t>
      </w:r>
      <w:bookmarkStart w:id="0" w:name="_GoBack"/>
      <w:bookmarkEnd w:id="0"/>
      <w:r>
        <w:rPr>
          <w:rFonts w:asciiTheme="minorHAnsi" w:hAnsiTheme="minorHAnsi"/>
        </w:rPr>
        <w:t xml:space="preserve"> przetargu p</w:t>
      </w:r>
      <w:r w:rsidR="008E5904" w:rsidRPr="008E5904">
        <w:rPr>
          <w:rFonts w:asciiTheme="minorHAnsi" w:hAnsiTheme="minorHAnsi"/>
        </w:rPr>
        <w:t xml:space="preserve">n. </w:t>
      </w:r>
      <w:bookmarkStart w:id="1" w:name="_Hlk516037319"/>
      <w:r w:rsidR="008E5904" w:rsidRPr="008E5904">
        <w:rPr>
          <w:rFonts w:asciiTheme="minorHAnsi" w:hAnsiTheme="minorHAnsi" w:cs="Segoe UI Light"/>
        </w:rPr>
        <w:t xml:space="preserve">„Rozbudowa Toruńskiego Parku Technologicznego dotycząca budowy infrastruktury na nieruchomości gruntowej położonej w Toruniu przy ul. Andersa” </w:t>
      </w:r>
    </w:p>
    <w:bookmarkEnd w:id="1"/>
    <w:p w:rsidR="008E5904" w:rsidRPr="008E5904" w:rsidRDefault="008E5904" w:rsidP="008547CB"/>
    <w:p w:rsidR="008E5904" w:rsidRPr="008E5904" w:rsidRDefault="008E5904" w:rsidP="008E5904">
      <w:pPr>
        <w:pStyle w:val="Bezodstpw"/>
        <w:ind w:left="284" w:right="281"/>
        <w:jc w:val="both"/>
      </w:pPr>
    </w:p>
    <w:p w:rsidR="008E5904" w:rsidRPr="008E5904" w:rsidRDefault="008E5904" w:rsidP="00A254C9">
      <w:pPr>
        <w:pStyle w:val="Bezodstpw"/>
        <w:numPr>
          <w:ilvl w:val="0"/>
          <w:numId w:val="8"/>
        </w:numPr>
        <w:ind w:right="281"/>
        <w:jc w:val="both"/>
      </w:pPr>
      <w:r w:rsidRPr="008E5904">
        <w:t>Na podstawie art. 38 ust. 1 i 2 ustawy Prawo zamówień publicznych Toruńska Agencja Rozwoju Regionalnego S.A. udziela niniejszym odpowiedzi na pytanie wykonawcy złożone w ww. postępowaniu.</w:t>
      </w:r>
    </w:p>
    <w:p w:rsidR="008E5904" w:rsidRPr="008E5904" w:rsidRDefault="008E5904" w:rsidP="008547CB"/>
    <w:p w:rsidR="008E5904" w:rsidRPr="008E5904" w:rsidRDefault="008E5904" w:rsidP="008547CB"/>
    <w:p w:rsidR="008547CB" w:rsidRPr="008E5904" w:rsidRDefault="008E5904" w:rsidP="008547CB">
      <w:r w:rsidRPr="008E5904">
        <w:t>ODPOWIEDZI: do pytań z 25</w:t>
      </w:r>
      <w:r w:rsidR="00796D5D" w:rsidRPr="008E5904">
        <w:t>.06.18</w:t>
      </w:r>
      <w:r>
        <w:t>,</w:t>
      </w:r>
      <w:r w:rsidRPr="008E5904">
        <w:t xml:space="preserve"> </w:t>
      </w:r>
      <w:r w:rsidRPr="008E5904">
        <w:rPr>
          <w:b/>
        </w:rPr>
        <w:t>część I</w:t>
      </w:r>
      <w:r>
        <w:rPr>
          <w:b/>
        </w:rPr>
        <w:t>:</w:t>
      </w:r>
    </w:p>
    <w:p w:rsidR="008547CB" w:rsidRPr="008E5904" w:rsidRDefault="008547CB" w:rsidP="008547CB">
      <w:pPr>
        <w:ind w:left="720"/>
      </w:pPr>
    </w:p>
    <w:p w:rsidR="008547CB" w:rsidRPr="008E5904" w:rsidRDefault="008547CB" w:rsidP="008547CB">
      <w:pPr>
        <w:numPr>
          <w:ilvl w:val="0"/>
          <w:numId w:val="1"/>
        </w:numPr>
        <w:rPr>
          <w:rFonts w:eastAsia="Times New Roman"/>
        </w:rPr>
      </w:pPr>
      <w:r w:rsidRPr="008E5904">
        <w:rPr>
          <w:rFonts w:eastAsia="Times New Roman"/>
        </w:rPr>
        <w:t>Wykonawca wnosi o wyjaśnienie czy w ramach prac demontażowych należy wykonać rozbiórkę jakichkolwiek obiektów kubaturowych?</w:t>
      </w:r>
    </w:p>
    <w:p w:rsidR="008547CB" w:rsidRPr="008E5904" w:rsidRDefault="008547CB" w:rsidP="008547CB">
      <w:pPr>
        <w:ind w:left="720"/>
      </w:pPr>
      <w:r w:rsidRPr="008E5904">
        <w:t>Odp. NIE</w:t>
      </w:r>
    </w:p>
    <w:p w:rsidR="008547CB" w:rsidRPr="008E5904" w:rsidRDefault="008547CB" w:rsidP="008547CB">
      <w:pPr>
        <w:ind w:left="720"/>
      </w:pPr>
    </w:p>
    <w:p w:rsidR="008547CB" w:rsidRPr="008E5904" w:rsidRDefault="008547CB" w:rsidP="008547CB">
      <w:pPr>
        <w:numPr>
          <w:ilvl w:val="0"/>
          <w:numId w:val="2"/>
        </w:numPr>
        <w:rPr>
          <w:rFonts w:eastAsia="Times New Roman"/>
        </w:rPr>
      </w:pPr>
      <w:r w:rsidRPr="008E5904">
        <w:rPr>
          <w:rFonts w:eastAsia="Times New Roman"/>
        </w:rPr>
        <w:t>Dokumentacja projektowa zakłada wykonanie kanalizacji deszczowej z rur betonowych.</w:t>
      </w:r>
    </w:p>
    <w:p w:rsidR="008547CB" w:rsidRPr="008E5904" w:rsidRDefault="008547CB" w:rsidP="008547CB">
      <w:pPr>
        <w:pStyle w:val="Akapitzlist"/>
      </w:pPr>
      <w:r w:rsidRPr="008E5904">
        <w:t>Wykonawca wnosi o wyjaśnienie czy Zamawiający wyrazi zgodę na wykonanie sieci deszczowej z zastosowaniem innego materiału?</w:t>
      </w:r>
    </w:p>
    <w:p w:rsidR="00BE64C5" w:rsidRPr="008E5904" w:rsidRDefault="008E5904" w:rsidP="008E5904">
      <w:pPr>
        <w:ind w:left="709"/>
        <w:rPr>
          <w:i/>
          <w:iCs/>
        </w:rPr>
      </w:pPr>
      <w:r>
        <w:rPr>
          <w:color w:val="002060"/>
        </w:rPr>
        <w:t> </w:t>
      </w:r>
      <w:r w:rsidR="008547CB" w:rsidRPr="008E5904">
        <w:t>Odp.</w:t>
      </w:r>
      <w:r w:rsidR="008547CB" w:rsidRPr="008E5904">
        <w:rPr>
          <w:i/>
        </w:rPr>
        <w:t xml:space="preserve"> </w:t>
      </w:r>
      <w:r w:rsidR="00B43E63" w:rsidRPr="008E5904">
        <w:rPr>
          <w:rStyle w:val="Uwydatnienie"/>
          <w:i w:val="0"/>
        </w:rPr>
        <w:t>Dla projektowania sieci kanalizacji deszczowej warunki techniczne (wpięte do projektu) wydał Miejski Zarząd Dróg w Toruniu.</w:t>
      </w:r>
      <w:r w:rsidRPr="008E5904">
        <w:rPr>
          <w:rStyle w:val="Uwydatnienie"/>
          <w:i w:val="0"/>
        </w:rPr>
        <w:t xml:space="preserve"> </w:t>
      </w:r>
      <w:r w:rsidR="00B43E63" w:rsidRPr="008E5904">
        <w:rPr>
          <w:rStyle w:val="Uwydatnienie"/>
          <w:i w:val="0"/>
        </w:rPr>
        <w:t>Jest tam wskazanie na wykonawstwo KD albo z rur betonowych, albo z żelbetowych albo z tworzyw sztucznych - odpowiednich dla ruchu drogowego. Ponieważ dla dotychczasowych wymian sieci KD przy przebudowach dróg jakie projektowałam w Toruniu nawiązywałam zawsze do istniejących sieci betonowych - tu też przewidziałam te rury. Ponieważ w klauzuli uzgadniającej  MZD zapisano, że wprowadzenie zmian do uzgodnionego projektu wymaga dodatkowego uzgodnienia MZD - należy to wykonać.</w:t>
      </w:r>
      <w:r w:rsidRPr="008E5904">
        <w:rPr>
          <w:rStyle w:val="Uwydatnienie"/>
          <w:i w:val="0"/>
        </w:rPr>
        <w:t xml:space="preserve"> W </w:t>
      </w:r>
      <w:r w:rsidR="00BE64C5" w:rsidRPr="008E5904">
        <w:rPr>
          <w:i/>
        </w:rPr>
        <w:t>związku z faktem, że dokumentacja projektowa została przygotowana w oparciu o uzgodnienia z MZD Toruń Zamawiający nie przewiduje wykonania sieci deszczowej z zastosowaniem innego materiału.</w:t>
      </w:r>
    </w:p>
    <w:p w:rsidR="00B43E63" w:rsidRPr="008E5904" w:rsidRDefault="00B43E63" w:rsidP="008547CB">
      <w:r w:rsidRPr="008E5904">
        <w:rPr>
          <w:rStyle w:val="Uwydatnienie"/>
        </w:rPr>
        <w:t xml:space="preserve"> </w:t>
      </w:r>
    </w:p>
    <w:p w:rsidR="008547CB" w:rsidRPr="008E5904" w:rsidRDefault="008547CB" w:rsidP="008547CB">
      <w:pPr>
        <w:numPr>
          <w:ilvl w:val="0"/>
          <w:numId w:val="3"/>
        </w:numPr>
        <w:rPr>
          <w:rFonts w:eastAsia="Times New Roman"/>
        </w:rPr>
      </w:pPr>
      <w:r w:rsidRPr="008E5904">
        <w:rPr>
          <w:rFonts w:eastAsia="Times New Roman"/>
        </w:rPr>
        <w:t>Dokumentacja projektowa zakłada wykonanie kanalizacji sanitarnej z rur kamionkowych.</w:t>
      </w:r>
    </w:p>
    <w:p w:rsidR="008547CB" w:rsidRPr="008E5904" w:rsidRDefault="008547CB" w:rsidP="008547CB">
      <w:pPr>
        <w:pStyle w:val="Akapitzlist"/>
      </w:pPr>
      <w:r w:rsidRPr="008E5904">
        <w:t>Wykonawca wnosi o wyjaśnienie czy Zamawiający wyrazi zgodę na wykonanie sieci sanitarnej z zastosowaniem innego materiału?</w:t>
      </w:r>
    </w:p>
    <w:p w:rsidR="00BE64C5" w:rsidRPr="008E5904" w:rsidRDefault="008E5904" w:rsidP="008E5904">
      <w:pPr>
        <w:ind w:left="709"/>
        <w:rPr>
          <w:i/>
        </w:rPr>
      </w:pPr>
      <w:r w:rsidRPr="008E5904">
        <w:rPr>
          <w:rStyle w:val="Uwydatnienie"/>
          <w:i w:val="0"/>
        </w:rPr>
        <w:t xml:space="preserve">Odp. </w:t>
      </w:r>
      <w:r w:rsidR="00B43E63" w:rsidRPr="008E5904">
        <w:rPr>
          <w:rStyle w:val="Uwydatnienie"/>
          <w:i w:val="0"/>
        </w:rPr>
        <w:t xml:space="preserve">Zarówno dla projektowania sieci wodociągowej jak i dla sieci kanalizacji sanitarnej  warunki techniczne wydały Toruńskie Wodociągi </w:t>
      </w:r>
      <w:proofErr w:type="spellStart"/>
      <w:r w:rsidR="00B43E63" w:rsidRPr="008E5904">
        <w:rPr>
          <w:rStyle w:val="Uwydatnienie"/>
          <w:i w:val="0"/>
        </w:rPr>
        <w:t>sp.z</w:t>
      </w:r>
      <w:proofErr w:type="spellEnd"/>
      <w:r w:rsidR="00B43E63" w:rsidRPr="008E5904">
        <w:rPr>
          <w:rStyle w:val="Uwydatnienie"/>
          <w:i w:val="0"/>
        </w:rPr>
        <w:t xml:space="preserve"> o.o. - wpięte w projekcie. W tym wypadku jednoznacznie narzuca się rodzaj materiału rur z jakich mają być wykonane dane sieci. W Toruniu sieć wodociągową w drogach należy projektować zawsze z żeliwa sferoidalnego wewnątrz </w:t>
      </w:r>
      <w:proofErr w:type="spellStart"/>
      <w:r w:rsidR="00B43E63" w:rsidRPr="008E5904">
        <w:rPr>
          <w:rStyle w:val="Uwydatnienie"/>
          <w:i w:val="0"/>
        </w:rPr>
        <w:t>ocementowanych</w:t>
      </w:r>
      <w:proofErr w:type="spellEnd"/>
      <w:r w:rsidR="00B43E63" w:rsidRPr="008E5904">
        <w:rPr>
          <w:rStyle w:val="Uwydatnienie"/>
          <w:i w:val="0"/>
        </w:rPr>
        <w:t xml:space="preserve"> a kanalizację sanitarną z rur kamionkowych szkliwionych. Jedynie przyłącza do przewodów głównych wodociągowych mogą być z rur PE a dla KS odgałęzienia boczne mogą być wykonane z PCV SN8 z rdzeniem litym. To są wymogi TW i tak projekt uzgodniono. </w:t>
      </w:r>
      <w:r w:rsidR="00BE64C5" w:rsidRPr="008E5904">
        <w:rPr>
          <w:i/>
        </w:rPr>
        <w:t xml:space="preserve">W związku z faktem, że dokumentacja projektowa została </w:t>
      </w:r>
      <w:r w:rsidR="00BE64C5" w:rsidRPr="008E5904">
        <w:rPr>
          <w:i/>
        </w:rPr>
        <w:lastRenderedPageBreak/>
        <w:t>przygotowana w oparciu o uzgodnienia z Toruńskimi Wodociągami Sp. z o.o. Zamawiający nie przewiduje wykonania sieci sanitarnej z zastosowaniem innego materiału.</w:t>
      </w:r>
    </w:p>
    <w:p w:rsidR="00BE64C5" w:rsidRPr="008E5904" w:rsidRDefault="00BE64C5" w:rsidP="00B43E63"/>
    <w:p w:rsidR="008547CB" w:rsidRPr="008E5904" w:rsidRDefault="008547CB" w:rsidP="008547CB">
      <w:pPr>
        <w:numPr>
          <w:ilvl w:val="0"/>
          <w:numId w:val="4"/>
        </w:numPr>
        <w:rPr>
          <w:rFonts w:eastAsia="Times New Roman"/>
        </w:rPr>
      </w:pPr>
      <w:r w:rsidRPr="008E5904">
        <w:rPr>
          <w:rFonts w:eastAsia="Times New Roman"/>
        </w:rPr>
        <w:t>Dokumentacja projektowa zakłada wykonanie sieci wodociągowej z rur z żeliwa sferoidalnego.</w:t>
      </w:r>
    </w:p>
    <w:p w:rsidR="008547CB" w:rsidRPr="008E5904" w:rsidRDefault="008547CB" w:rsidP="008547CB">
      <w:pPr>
        <w:pStyle w:val="Akapitzlist"/>
      </w:pPr>
      <w:r w:rsidRPr="008E5904">
        <w:t>Wykonawca wnosi o wyjaśnienie czy Zamawiający wyrazi zgodę na wykonanie sieci wodociągowej z zastosowaniem innego materiału?</w:t>
      </w:r>
    </w:p>
    <w:p w:rsidR="00BE64C5" w:rsidRPr="008E5904" w:rsidRDefault="008547CB" w:rsidP="008E5904">
      <w:pPr>
        <w:pStyle w:val="Akapitzlist"/>
        <w:rPr>
          <w:rStyle w:val="Uwydatnienie"/>
        </w:rPr>
      </w:pPr>
      <w:r w:rsidRPr="008E5904">
        <w:t>Odp</w:t>
      </w:r>
      <w:r w:rsidRPr="008E5904">
        <w:rPr>
          <w:i/>
        </w:rPr>
        <w:t xml:space="preserve">. </w:t>
      </w:r>
      <w:r w:rsidR="00B43E63" w:rsidRPr="008E5904">
        <w:rPr>
          <w:rStyle w:val="Uwydatnienie"/>
          <w:i w:val="0"/>
        </w:rPr>
        <w:t>Patrz odpowied</w:t>
      </w:r>
      <w:r w:rsidR="008E5904">
        <w:rPr>
          <w:rStyle w:val="Uwydatnienie"/>
          <w:i w:val="0"/>
        </w:rPr>
        <w:t>ź</w:t>
      </w:r>
      <w:r w:rsidR="00B43E63" w:rsidRPr="008E5904">
        <w:rPr>
          <w:rStyle w:val="Uwydatnienie"/>
          <w:i w:val="0"/>
        </w:rPr>
        <w:t xml:space="preserve"> </w:t>
      </w:r>
      <w:r w:rsidR="001B64BD" w:rsidRPr="008E5904">
        <w:rPr>
          <w:rStyle w:val="Uwydatnienie"/>
          <w:i w:val="0"/>
        </w:rPr>
        <w:t>wspólną</w:t>
      </w:r>
      <w:r w:rsidR="00B43E63" w:rsidRPr="008E5904">
        <w:rPr>
          <w:rStyle w:val="Uwydatnienie"/>
          <w:i w:val="0"/>
        </w:rPr>
        <w:t xml:space="preserve"> dla punktu nr 3 i 4</w:t>
      </w:r>
      <w:r w:rsidR="008E5904" w:rsidRPr="008E5904">
        <w:rPr>
          <w:rStyle w:val="Uwydatnienie"/>
          <w:i w:val="0"/>
        </w:rPr>
        <w:t>.</w:t>
      </w:r>
      <w:r w:rsidR="008E5904" w:rsidRPr="008E5904">
        <w:rPr>
          <w:rStyle w:val="Uwydatnienie"/>
        </w:rPr>
        <w:t xml:space="preserve"> </w:t>
      </w:r>
      <w:r w:rsidR="00BE64C5" w:rsidRPr="008E5904">
        <w:t>W związku z faktem, że dokumentacja projektowa została przygotowana w oparciu o uzgodnienia z Toruńskimi Wodociągami Sp. z o.o. Zamawiający nie przewiduje wykonania sieci wodociągowej z zastosowaniem innego materiału.</w:t>
      </w:r>
    </w:p>
    <w:p w:rsidR="00B43E63" w:rsidRPr="00B43E63" w:rsidRDefault="00B43E63" w:rsidP="00B43E63">
      <w:pPr>
        <w:rPr>
          <w:color w:val="002060"/>
        </w:rPr>
      </w:pPr>
    </w:p>
    <w:p w:rsidR="008547CB" w:rsidRPr="008E5904" w:rsidRDefault="008547CB" w:rsidP="008547CB">
      <w:pPr>
        <w:numPr>
          <w:ilvl w:val="0"/>
          <w:numId w:val="5"/>
        </w:numPr>
        <w:rPr>
          <w:rFonts w:eastAsia="Times New Roman"/>
        </w:rPr>
      </w:pPr>
      <w:r w:rsidRPr="008E5904">
        <w:rPr>
          <w:rFonts w:eastAsia="Times New Roman"/>
        </w:rPr>
        <w:t>Specyfikacja techniczna D.04.04.02b. PODBUDOWA  Z  DESTRUKTU BETONOWEGO STABILIZOWANEGO  MECHANICZNIE</w:t>
      </w:r>
    </w:p>
    <w:p w:rsidR="008547CB" w:rsidRPr="008E5904" w:rsidRDefault="008547CB" w:rsidP="008547CB">
      <w:pPr>
        <w:pStyle w:val="Akapitzlist"/>
      </w:pPr>
      <w:r w:rsidRPr="008E5904">
        <w:t xml:space="preserve">„Pomiędzy  podbudową  pomocniczą  a  zagęszczonym  podłożem  gruntowym  należy  ułożyć  </w:t>
      </w:r>
      <w:proofErr w:type="spellStart"/>
      <w:r w:rsidRPr="008E5904">
        <w:t>geotkaninę</w:t>
      </w:r>
      <w:proofErr w:type="spellEnd"/>
      <w:r w:rsidRPr="008E5904">
        <w:t xml:space="preserve">  separacyjno-filtracyjną np. </w:t>
      </w:r>
      <w:proofErr w:type="spellStart"/>
      <w:r w:rsidRPr="008E5904">
        <w:t>Lotrak</w:t>
      </w:r>
      <w:proofErr w:type="spellEnd"/>
      <w:r w:rsidRPr="008E5904">
        <w:t xml:space="preserve"> 15 o masie powierzchniowej 78 g/m2”</w:t>
      </w:r>
    </w:p>
    <w:p w:rsidR="008547CB" w:rsidRPr="008E5904" w:rsidRDefault="008547CB" w:rsidP="008547CB">
      <w:pPr>
        <w:pStyle w:val="Akapitzlist"/>
      </w:pPr>
      <w:r w:rsidRPr="008E5904">
        <w:t>Warstwa opisana w SST nie występuje na przekrojach konstrukcyjnych.</w:t>
      </w:r>
    </w:p>
    <w:p w:rsidR="008547CB" w:rsidRPr="008E5904" w:rsidRDefault="008547CB" w:rsidP="008547CB">
      <w:pPr>
        <w:pStyle w:val="Akapitzlist"/>
      </w:pPr>
      <w:r w:rsidRPr="008E5904">
        <w:t xml:space="preserve">Wykonawca wnosi o wyjaśnieni czy Zamawiający wymaga zastosowania </w:t>
      </w:r>
      <w:proofErr w:type="spellStart"/>
      <w:r w:rsidRPr="008E5904">
        <w:t>geotkaniny</w:t>
      </w:r>
      <w:proofErr w:type="spellEnd"/>
      <w:r w:rsidRPr="008E5904">
        <w:t xml:space="preserve"> pod warstwę podbudowy pomocniczej z destruktu betonowego oraz kruszywa łamanego?</w:t>
      </w:r>
    </w:p>
    <w:p w:rsidR="00B43E63" w:rsidRPr="008E5904" w:rsidRDefault="001D6C8B" w:rsidP="008E5904">
      <w:pPr>
        <w:ind w:left="709"/>
      </w:pPr>
      <w:r w:rsidRPr="008E5904">
        <w:t xml:space="preserve">Odp. </w:t>
      </w:r>
      <w:r w:rsidR="008E5904" w:rsidRPr="008E5904">
        <w:t xml:space="preserve">Nie stosować </w:t>
      </w:r>
      <w:proofErr w:type="spellStart"/>
      <w:r w:rsidR="008E5904" w:rsidRPr="008E5904">
        <w:t>geo</w:t>
      </w:r>
      <w:r w:rsidR="00D95A5B" w:rsidRPr="008E5904">
        <w:t>tkaniny</w:t>
      </w:r>
      <w:proofErr w:type="spellEnd"/>
      <w:r w:rsidR="00D95A5B" w:rsidRPr="008E5904">
        <w:t>. Rozwiązania w projekcie są prawidłowe.</w:t>
      </w:r>
    </w:p>
    <w:p w:rsidR="008547CB" w:rsidRDefault="008547CB" w:rsidP="008547CB">
      <w:pPr>
        <w:pStyle w:val="Akapitzlist"/>
        <w:rPr>
          <w:color w:val="002060"/>
        </w:rPr>
      </w:pPr>
    </w:p>
    <w:p w:rsidR="008547CB" w:rsidRPr="008E5904" w:rsidRDefault="008547CB" w:rsidP="008547CB">
      <w:pPr>
        <w:pStyle w:val="Akapitzlist"/>
        <w:ind w:hanging="360"/>
      </w:pPr>
      <w:r>
        <w:rPr>
          <w:color w:val="002060"/>
        </w:rPr>
        <w:t>6.</w:t>
      </w:r>
      <w:r>
        <w:rPr>
          <w:rFonts w:ascii="Times New Roman" w:hAnsi="Times New Roman"/>
          <w:color w:val="002060"/>
          <w:sz w:val="14"/>
          <w:szCs w:val="14"/>
        </w:rPr>
        <w:t xml:space="preserve">      </w:t>
      </w:r>
      <w:r w:rsidRPr="008E5904">
        <w:t>Wykonawca wnosi o wyjaśnienie czy w ramach zadania należy wykonać nasadzenia zastępcze?</w:t>
      </w:r>
    </w:p>
    <w:p w:rsidR="008547CB" w:rsidRPr="008E5904" w:rsidRDefault="008E5904" w:rsidP="008E5904">
      <w:pPr>
        <w:ind w:left="709" w:firstLine="76"/>
      </w:pPr>
      <w:r w:rsidRPr="008E5904">
        <w:t xml:space="preserve">Odp. Tak, należy dokonać </w:t>
      </w:r>
      <w:proofErr w:type="spellStart"/>
      <w:r w:rsidRPr="008E5904">
        <w:t>nasadzeń</w:t>
      </w:r>
      <w:proofErr w:type="spellEnd"/>
      <w:r w:rsidRPr="008E5904">
        <w:t xml:space="preserve"> zastępczych zgodnie z projektem.</w:t>
      </w:r>
    </w:p>
    <w:p w:rsidR="008547CB" w:rsidRDefault="008547CB" w:rsidP="008547CB">
      <w:pPr>
        <w:ind w:left="708"/>
      </w:pPr>
    </w:p>
    <w:p w:rsidR="008E5904" w:rsidRPr="008E5904" w:rsidRDefault="008E5904" w:rsidP="008E5904">
      <w:r w:rsidRPr="008E5904">
        <w:t>ODPOWIEDZI: do pytań z 25.06.18</w:t>
      </w:r>
      <w:r>
        <w:t>,</w:t>
      </w:r>
      <w:r w:rsidRPr="008E5904">
        <w:t xml:space="preserve"> </w:t>
      </w:r>
      <w:r w:rsidRPr="008E5904">
        <w:rPr>
          <w:b/>
        </w:rPr>
        <w:t>część I</w:t>
      </w:r>
      <w:r>
        <w:rPr>
          <w:b/>
        </w:rPr>
        <w:t>I:</w:t>
      </w:r>
    </w:p>
    <w:p w:rsidR="008E5904" w:rsidRDefault="008E5904" w:rsidP="008E5904"/>
    <w:p w:rsidR="008547CB" w:rsidRDefault="008547CB" w:rsidP="008547CB">
      <w:pPr>
        <w:pStyle w:val="Akapitzlist"/>
        <w:ind w:left="1065" w:hanging="705"/>
      </w:pPr>
      <w:r>
        <w:t>1.</w:t>
      </w:r>
      <w:r>
        <w:rPr>
          <w:rFonts w:ascii="Times New Roman" w:hAnsi="Times New Roman"/>
          <w:sz w:val="14"/>
          <w:szCs w:val="14"/>
        </w:rPr>
        <w:t xml:space="preserve">               </w:t>
      </w:r>
      <w:r>
        <w:t>Wykonawca wnosi o podanie wartości szacunkowej zamówienia jaką ustalił Zamawiający na prace będące przedmiotem postępowania przetargowego (na podstawie kalkulacji Projektanta, kosztorysu inwestorskiego lub innych opracowań).</w:t>
      </w:r>
    </w:p>
    <w:p w:rsidR="008547CB" w:rsidRPr="008E5904" w:rsidRDefault="001D6C8B" w:rsidP="008E5904">
      <w:pPr>
        <w:ind w:left="1134"/>
      </w:pPr>
      <w:r w:rsidRPr="008E5904">
        <w:t xml:space="preserve">Odp. </w:t>
      </w:r>
      <w:r w:rsidR="008E5904" w:rsidRPr="008E5904">
        <w:t>Zmawiający n</w:t>
      </w:r>
      <w:r w:rsidR="007F2AE1" w:rsidRPr="008E5904">
        <w:t>ie na obowiązku podawania tej kwoty przed otwarciem ofert</w:t>
      </w:r>
      <w:r w:rsidR="00F93BC4" w:rsidRPr="008E5904">
        <w:t>.</w:t>
      </w:r>
    </w:p>
    <w:p w:rsidR="008547CB" w:rsidRDefault="008547CB" w:rsidP="008547CB"/>
    <w:p w:rsidR="008547CB" w:rsidRDefault="008547CB" w:rsidP="008547CB">
      <w:pPr>
        <w:pStyle w:val="Akapitzlist"/>
        <w:ind w:left="1065" w:hanging="705"/>
      </w:pPr>
      <w:r>
        <w:t>2.</w:t>
      </w:r>
      <w:r>
        <w:rPr>
          <w:rFonts w:ascii="Times New Roman" w:hAnsi="Times New Roman"/>
          <w:sz w:val="14"/>
          <w:szCs w:val="14"/>
        </w:rPr>
        <w:t xml:space="preserve">               </w:t>
      </w:r>
      <w:r>
        <w:t>Wykonawca wnosi o podanie ilości środków budżetowych jakie Zamawiający zabezpieczył na prace będące przedmiotem postępowania przetargowego.</w:t>
      </w:r>
    </w:p>
    <w:p w:rsidR="007F2AE1" w:rsidRPr="008E5904" w:rsidRDefault="008547CB" w:rsidP="008E5904">
      <w:pPr>
        <w:ind w:left="993"/>
      </w:pPr>
      <w:r w:rsidRPr="008E5904">
        <w:t>Odp. Zamawiający będzie dysponował środkami niezbędnymi do wykonania zamówienia w podziale 85% (z projektu RPO) i 15% (środki własne)</w:t>
      </w:r>
      <w:r w:rsidR="007F2AE1" w:rsidRPr="008E5904">
        <w:t>.</w:t>
      </w:r>
      <w:r w:rsidR="00F93BC4" w:rsidRPr="008E5904">
        <w:t xml:space="preserve"> </w:t>
      </w:r>
      <w:r w:rsidR="007F2AE1" w:rsidRPr="008E5904">
        <w:t>Kwotę zamawiający poda bezpośrednio przed otwarciem ofert.</w:t>
      </w:r>
    </w:p>
    <w:p w:rsidR="008547CB" w:rsidRPr="007F2AE1" w:rsidRDefault="008547CB" w:rsidP="008547CB">
      <w:pPr>
        <w:pStyle w:val="Akapitzlist"/>
        <w:ind w:left="1065"/>
        <w:rPr>
          <w:color w:val="FF0000"/>
        </w:rPr>
      </w:pPr>
    </w:p>
    <w:p w:rsidR="008547CB" w:rsidRDefault="008547CB" w:rsidP="008547CB">
      <w:pPr>
        <w:pStyle w:val="Akapitzlist"/>
        <w:ind w:left="1065"/>
      </w:pPr>
    </w:p>
    <w:p w:rsidR="008547CB" w:rsidRDefault="008547CB" w:rsidP="008547CB">
      <w:pPr>
        <w:pStyle w:val="Akapitzlist"/>
        <w:ind w:left="1065" w:hanging="705"/>
      </w:pPr>
      <w:r>
        <w:t>3.</w:t>
      </w:r>
      <w:r>
        <w:rPr>
          <w:rFonts w:ascii="Times New Roman" w:hAnsi="Times New Roman"/>
          <w:sz w:val="14"/>
          <w:szCs w:val="14"/>
        </w:rPr>
        <w:t xml:space="preserve">               </w:t>
      </w:r>
      <w:r>
        <w:t>Wykonawca wnosi o potwierdzenie, iż Zamawiający dysponuje gruntem niezbędnym do realizacji zadania zgodnie z wymaganiami SIWZ.</w:t>
      </w:r>
    </w:p>
    <w:p w:rsidR="008E5904" w:rsidRPr="004751F1" w:rsidRDefault="008547CB" w:rsidP="008E5904">
      <w:pPr>
        <w:autoSpaceDE w:val="0"/>
        <w:autoSpaceDN w:val="0"/>
        <w:adjustRightInd w:val="0"/>
        <w:ind w:left="993"/>
        <w:jc w:val="both"/>
      </w:pPr>
      <w:r>
        <w:t xml:space="preserve">Odp. </w:t>
      </w:r>
      <w:r w:rsidR="008E5904">
        <w:t>W związku z zapytaniem dot. przetargu na wyłonienie wykonawcy prac w projekcie</w:t>
      </w:r>
      <w:r w:rsidR="008E5904" w:rsidRPr="00CB0B97">
        <w:t xml:space="preserve"> pt. „Rozbudowa Toruńskiego Parku Technologicznego dotycząca budowy infrastruktury na nieruchomości gruntowej położonej w Toruniu przy ul. Andersa”</w:t>
      </w:r>
      <w:r w:rsidR="008E5904">
        <w:t xml:space="preserve"> Toruńska Agencja Rozwoju Regionalnego S.A. potwierdza, że </w:t>
      </w:r>
      <w:r w:rsidR="008E5904" w:rsidRPr="00695940">
        <w:t>posiada prawo do dysponowania nieruchomością</w:t>
      </w:r>
      <w:r w:rsidR="008E5904" w:rsidRPr="00AB6E53">
        <w:t xml:space="preserve"> oznaczoną w ewidencji gruntów i budynków jako </w:t>
      </w:r>
      <w:r w:rsidR="008E5904" w:rsidRPr="004751F1">
        <w:t xml:space="preserve">działka(i) nr: </w:t>
      </w:r>
    </w:p>
    <w:p w:rsidR="008E5904" w:rsidRPr="004751F1" w:rsidRDefault="008E5904" w:rsidP="008E5904">
      <w:pPr>
        <w:autoSpaceDE w:val="0"/>
        <w:autoSpaceDN w:val="0"/>
        <w:adjustRightInd w:val="0"/>
        <w:ind w:left="993"/>
        <w:jc w:val="both"/>
      </w:pPr>
      <w:r w:rsidRPr="004751F1">
        <w:t>1. 1/100, 1/101, 1/102, 1/93, 1/94, 1/95, 1/96, 1/97, 1/98, 1/99 w obrębie ewidencyjnym 75 w jednostce ewidencyjnej 046301_1,</w:t>
      </w:r>
    </w:p>
    <w:p w:rsidR="008E5904" w:rsidRPr="004751F1" w:rsidRDefault="008E5904" w:rsidP="008E5904">
      <w:pPr>
        <w:autoSpaceDE w:val="0"/>
        <w:autoSpaceDN w:val="0"/>
        <w:adjustRightInd w:val="0"/>
        <w:ind w:left="993"/>
        <w:jc w:val="both"/>
      </w:pPr>
      <w:r w:rsidRPr="004751F1">
        <w:t>2. 1/77, 1/83, w obrębie ewidencyjnym 75 w jednostce ewidencyjnej 046301_1,</w:t>
      </w:r>
    </w:p>
    <w:p w:rsidR="008E5904" w:rsidRPr="004751F1" w:rsidRDefault="008E5904" w:rsidP="008E5904">
      <w:pPr>
        <w:autoSpaceDE w:val="0"/>
        <w:autoSpaceDN w:val="0"/>
        <w:adjustRightInd w:val="0"/>
        <w:ind w:left="993"/>
        <w:jc w:val="both"/>
      </w:pPr>
      <w:r w:rsidRPr="004751F1">
        <w:t>3. 127, 126/1, 126/2, 126/3, 128/1, 128/2 w obrębie ewidencyjnym 75 w jednostce ewidencyjnej 046301_1,</w:t>
      </w:r>
    </w:p>
    <w:p w:rsidR="008E5904" w:rsidRPr="004751F1" w:rsidRDefault="008E5904" w:rsidP="008E5904">
      <w:pPr>
        <w:autoSpaceDE w:val="0"/>
        <w:autoSpaceDN w:val="0"/>
        <w:adjustRightInd w:val="0"/>
        <w:ind w:left="993"/>
        <w:jc w:val="both"/>
      </w:pPr>
      <w:r w:rsidRPr="004751F1">
        <w:t>4. 1/74 w obrębie ewidencyjnym 75 w jednostce ewidencyjnej 046301_1,</w:t>
      </w:r>
    </w:p>
    <w:p w:rsidR="008E5904" w:rsidRPr="004751F1" w:rsidRDefault="008E5904" w:rsidP="008E5904">
      <w:pPr>
        <w:autoSpaceDE w:val="0"/>
        <w:autoSpaceDN w:val="0"/>
        <w:adjustRightInd w:val="0"/>
        <w:ind w:left="993"/>
        <w:jc w:val="both"/>
      </w:pPr>
      <w:r w:rsidRPr="004751F1">
        <w:t>5. 129, 130, 131 w obrębie ewidencyjnym 70 w jednostce ewidencyjnej 046301_1,</w:t>
      </w:r>
    </w:p>
    <w:p w:rsidR="008E5904" w:rsidRPr="004751F1" w:rsidRDefault="008E5904" w:rsidP="008E5904">
      <w:pPr>
        <w:autoSpaceDE w:val="0"/>
        <w:autoSpaceDN w:val="0"/>
        <w:adjustRightInd w:val="0"/>
        <w:ind w:left="993"/>
        <w:jc w:val="both"/>
      </w:pPr>
      <w:r w:rsidRPr="004751F1">
        <w:t>6. 1/74, 1/78, 1/79  w obrębie ewidencyjnym 75 w jednostce ewidencyjnej 046301_1,</w:t>
      </w:r>
    </w:p>
    <w:p w:rsidR="008E5904" w:rsidRPr="004751F1" w:rsidRDefault="008E5904" w:rsidP="008E5904">
      <w:pPr>
        <w:autoSpaceDE w:val="0"/>
        <w:autoSpaceDN w:val="0"/>
        <w:adjustRightInd w:val="0"/>
        <w:ind w:left="993"/>
        <w:jc w:val="both"/>
      </w:pPr>
      <w:r w:rsidRPr="004751F1">
        <w:lastRenderedPageBreak/>
        <w:t>7. 1/56, w obrębie ewidencyjnym 75 w jednostce ewidencyjnej 046301_1,</w:t>
      </w:r>
    </w:p>
    <w:p w:rsidR="008E5904" w:rsidRPr="004751F1" w:rsidRDefault="008E5904" w:rsidP="008E5904">
      <w:pPr>
        <w:autoSpaceDE w:val="0"/>
        <w:autoSpaceDN w:val="0"/>
        <w:adjustRightInd w:val="0"/>
        <w:ind w:left="993"/>
        <w:jc w:val="both"/>
      </w:pPr>
      <w:r w:rsidRPr="004751F1">
        <w:t>8. 75 w obrębie ewidencyjnym 0070 w jednostce ewidencyjnej 046301_1,</w:t>
      </w:r>
    </w:p>
    <w:p w:rsidR="008E5904" w:rsidRPr="004761C3" w:rsidRDefault="008E5904" w:rsidP="008E5904">
      <w:pPr>
        <w:autoSpaceDE w:val="0"/>
        <w:autoSpaceDN w:val="0"/>
        <w:adjustRightInd w:val="0"/>
        <w:ind w:left="993"/>
        <w:jc w:val="both"/>
      </w:pPr>
      <w:r w:rsidRPr="004761C3">
        <w:t xml:space="preserve">9. 76, 137, 138 w obrębie ewidencyjnym 0070 w jednostce ewidencyjnej 046301_1, </w:t>
      </w:r>
    </w:p>
    <w:p w:rsidR="008E5904" w:rsidRDefault="008E5904" w:rsidP="008E5904">
      <w:pPr>
        <w:autoSpaceDE w:val="0"/>
        <w:autoSpaceDN w:val="0"/>
        <w:adjustRightInd w:val="0"/>
        <w:ind w:left="993"/>
        <w:jc w:val="both"/>
      </w:pPr>
      <w:r w:rsidRPr="004761C3">
        <w:t>10. 1/79, 1/80, 1/81 w obrębie ewidencyjnym 0075 w jednostce ewidencyjnej 046301_1</w:t>
      </w:r>
    </w:p>
    <w:p w:rsidR="008E5904" w:rsidRPr="004761C3" w:rsidRDefault="008E5904" w:rsidP="008E5904">
      <w:pPr>
        <w:autoSpaceDE w:val="0"/>
        <w:autoSpaceDN w:val="0"/>
        <w:adjustRightInd w:val="0"/>
        <w:ind w:left="993"/>
        <w:jc w:val="both"/>
      </w:pPr>
    </w:p>
    <w:p w:rsidR="008E5904" w:rsidRDefault="008E5904" w:rsidP="008E5904">
      <w:pPr>
        <w:autoSpaceDE w:val="0"/>
        <w:autoSpaceDN w:val="0"/>
        <w:adjustRightInd w:val="0"/>
        <w:ind w:left="993"/>
        <w:jc w:val="both"/>
        <w:rPr>
          <w:i/>
          <w:sz w:val="18"/>
          <w:szCs w:val="18"/>
        </w:rPr>
      </w:pPr>
      <w:r w:rsidRPr="009A56F7">
        <w:t>na cele projektu, wynikające z ty</w:t>
      </w:r>
      <w:r>
        <w:t>tułu</w:t>
      </w:r>
      <w:r w:rsidRPr="009A56F7">
        <w:rPr>
          <w:i/>
          <w:sz w:val="18"/>
          <w:szCs w:val="18"/>
        </w:rPr>
        <w:t>:</w:t>
      </w:r>
    </w:p>
    <w:p w:rsidR="008E5904" w:rsidRPr="009A56F7" w:rsidRDefault="008E5904" w:rsidP="008E5904">
      <w:pPr>
        <w:autoSpaceDE w:val="0"/>
        <w:autoSpaceDN w:val="0"/>
        <w:adjustRightInd w:val="0"/>
        <w:ind w:left="993"/>
        <w:jc w:val="both"/>
      </w:pPr>
    </w:p>
    <w:p w:rsidR="008E5904" w:rsidRPr="00695940" w:rsidRDefault="008E5904" w:rsidP="008E5904">
      <w:pPr>
        <w:numPr>
          <w:ilvl w:val="0"/>
          <w:numId w:val="7"/>
        </w:numPr>
        <w:autoSpaceDE w:val="0"/>
        <w:autoSpaceDN w:val="0"/>
        <w:adjustRightInd w:val="0"/>
        <w:ind w:left="993" w:hanging="284"/>
        <w:jc w:val="both"/>
        <w:rPr>
          <w:u w:val="single"/>
        </w:rPr>
      </w:pPr>
      <w:r w:rsidRPr="009A56F7">
        <w:rPr>
          <w:u w:val="single"/>
        </w:rPr>
        <w:t>własności,</w:t>
      </w:r>
      <w:r w:rsidRPr="000D354B">
        <w:t xml:space="preserve"> (dot.1)</w:t>
      </w:r>
      <w:r w:rsidRPr="000D354B">
        <w:rPr>
          <w:rFonts w:ascii="Times New Roman" w:hAnsi="Times New Roman"/>
        </w:rPr>
        <w:t xml:space="preserve"> </w:t>
      </w:r>
      <w:r w:rsidRPr="000939B2">
        <w:t>Akt notarialny Repertorium A nr 5107/2016 z dn. 28.07.2016r.</w:t>
      </w:r>
    </w:p>
    <w:p w:rsidR="008E5904" w:rsidRDefault="008E5904" w:rsidP="008E5904">
      <w:pPr>
        <w:numPr>
          <w:ilvl w:val="0"/>
          <w:numId w:val="7"/>
        </w:numPr>
        <w:autoSpaceDE w:val="0"/>
        <w:autoSpaceDN w:val="0"/>
        <w:adjustRightInd w:val="0"/>
        <w:ind w:left="993" w:hanging="284"/>
        <w:jc w:val="both"/>
      </w:pPr>
      <w:r w:rsidRPr="009A56F7">
        <w:rPr>
          <w:u w:val="single"/>
        </w:rPr>
        <w:t>stosunku zobowiązaniowego, przewidującego uprawnienie do realizacji zakresu projektu</w:t>
      </w:r>
      <w:r>
        <w:t>:</w:t>
      </w:r>
    </w:p>
    <w:p w:rsidR="008E5904" w:rsidRPr="00695940" w:rsidRDefault="008E5904" w:rsidP="008E5904">
      <w:pPr>
        <w:autoSpaceDE w:val="0"/>
        <w:autoSpaceDN w:val="0"/>
        <w:adjustRightInd w:val="0"/>
        <w:ind w:left="993"/>
        <w:jc w:val="both"/>
      </w:pPr>
      <w:r w:rsidRPr="009A56F7">
        <w:t>(dot. 2, 3) umowa użyczenia z dn. 26.04.2017r. i aneks z dn. 29.06.02017r., użyczający: Gmina Miasta Toruń</w:t>
      </w:r>
    </w:p>
    <w:p w:rsidR="008E5904" w:rsidRPr="009A56F7" w:rsidRDefault="008E5904" w:rsidP="008E5904">
      <w:pPr>
        <w:numPr>
          <w:ilvl w:val="0"/>
          <w:numId w:val="7"/>
        </w:numPr>
        <w:autoSpaceDE w:val="0"/>
        <w:autoSpaceDN w:val="0"/>
        <w:adjustRightInd w:val="0"/>
        <w:ind w:left="993" w:hanging="284"/>
        <w:jc w:val="both"/>
        <w:rPr>
          <w:u w:val="single"/>
        </w:rPr>
      </w:pPr>
      <w:r w:rsidRPr="009A56F7">
        <w:rPr>
          <w:u w:val="single"/>
        </w:rPr>
        <w:t xml:space="preserve">inne: </w:t>
      </w:r>
    </w:p>
    <w:p w:rsidR="008E5904" w:rsidRPr="00EF02BD" w:rsidRDefault="008E5904" w:rsidP="008E5904">
      <w:pPr>
        <w:autoSpaceDE w:val="0"/>
        <w:autoSpaceDN w:val="0"/>
        <w:adjustRightInd w:val="0"/>
        <w:ind w:left="993"/>
        <w:jc w:val="both"/>
      </w:pPr>
      <w:r w:rsidRPr="00EF02BD">
        <w:t>(dot. 4) umowa z d. 24.08.2017r. na udostępnienie grunt</w:t>
      </w:r>
      <w:r>
        <w:t xml:space="preserve">u pod budowę linii </w:t>
      </w:r>
      <w:proofErr w:type="spellStart"/>
      <w:r>
        <w:t>elek</w:t>
      </w:r>
      <w:proofErr w:type="spellEnd"/>
      <w:r>
        <w:t>., udostę</w:t>
      </w:r>
      <w:r w:rsidRPr="00EF02BD">
        <w:t>pniający: Gmina Miasta Toruń</w:t>
      </w:r>
    </w:p>
    <w:p w:rsidR="008E5904" w:rsidRDefault="008E5904" w:rsidP="008E5904">
      <w:pPr>
        <w:autoSpaceDE w:val="0"/>
        <w:autoSpaceDN w:val="0"/>
        <w:adjustRightInd w:val="0"/>
        <w:ind w:left="993"/>
        <w:jc w:val="both"/>
      </w:pPr>
      <w:r>
        <w:t>(dot. 5,6) z</w:t>
      </w:r>
      <w:r w:rsidRPr="00EB1948">
        <w:t>goda na dysponowanie gruntem pod</w:t>
      </w:r>
      <w:r>
        <w:t xml:space="preserve"> likwidację linii elekt., udostę</w:t>
      </w:r>
      <w:r w:rsidRPr="00EB1948">
        <w:t>pniający: Gmina Miasta Toruń</w:t>
      </w:r>
    </w:p>
    <w:p w:rsidR="008E5904" w:rsidRDefault="008E5904" w:rsidP="008E5904">
      <w:pPr>
        <w:autoSpaceDE w:val="0"/>
        <w:autoSpaceDN w:val="0"/>
        <w:adjustRightInd w:val="0"/>
        <w:ind w:left="993"/>
        <w:jc w:val="both"/>
      </w:pPr>
      <w:r>
        <w:t>(dot. 7) zgoda na użyczenie z dn. 25.04.2017r, decyzja wyrażające zgodę na lokalizację kanalizacji i sieci w pasie drogowym z dn. 07.07.2017r., oświadczenie z dn. 07.07.2017r. wyrażające zgodę na czasowe zajęcie pod budowę kanalizacji i sieci, udostępniający: MZD  Toruń</w:t>
      </w:r>
    </w:p>
    <w:p w:rsidR="008E5904" w:rsidRDefault="008E5904" w:rsidP="008E5904">
      <w:pPr>
        <w:autoSpaceDE w:val="0"/>
        <w:autoSpaceDN w:val="0"/>
        <w:adjustRightInd w:val="0"/>
        <w:ind w:left="993"/>
        <w:jc w:val="both"/>
      </w:pPr>
      <w:r>
        <w:t>(dot. 8) zgoda na użyczenie z dn. 25.04.2017r, decyzja wyrażające zgodę na lokalizację kanalizacji i sieci w pasie drogowym z dn. 07.07.2017r., oświadczenie z dn. 21.08.2017r. wyrażające zgodę na czasowe zajęcie, udostępniający: MZD  Toruń</w:t>
      </w:r>
    </w:p>
    <w:p w:rsidR="008E5904" w:rsidRDefault="008E5904" w:rsidP="008E5904">
      <w:pPr>
        <w:autoSpaceDE w:val="0"/>
        <w:autoSpaceDN w:val="0"/>
        <w:adjustRightInd w:val="0"/>
        <w:ind w:left="993"/>
        <w:jc w:val="both"/>
      </w:pPr>
      <w:r>
        <w:t>(dot. 9) decyzja wyrażające zgodę na lokalizację kanalizacji i sieci w pasie drogowym z dn. 07.07.2017r., oświadczenie z dn. 07.07.2017r. wyrażające zgodę na czasowe zajęcie pod budowę kanalizacji i sieci, udostępniający: MZD  Toruń</w:t>
      </w:r>
    </w:p>
    <w:p w:rsidR="008E5904" w:rsidRPr="00EB1948" w:rsidRDefault="008E5904" w:rsidP="008E5904">
      <w:pPr>
        <w:autoSpaceDE w:val="0"/>
        <w:autoSpaceDN w:val="0"/>
        <w:adjustRightInd w:val="0"/>
        <w:ind w:left="993"/>
        <w:jc w:val="both"/>
      </w:pPr>
      <w:r>
        <w:t>(do.10) zgoda na nasadzenie drzew  i krzewów z dn. 3.1.2018r.</w:t>
      </w:r>
    </w:p>
    <w:p w:rsidR="008547CB" w:rsidRDefault="008547CB" w:rsidP="008547CB">
      <w:pPr>
        <w:pStyle w:val="Akapitzlist"/>
        <w:ind w:left="1065"/>
      </w:pPr>
    </w:p>
    <w:p w:rsidR="008547CB" w:rsidRDefault="008547CB" w:rsidP="008547CB">
      <w:pPr>
        <w:pStyle w:val="Akapitzlist"/>
        <w:ind w:left="1065"/>
      </w:pPr>
    </w:p>
    <w:p w:rsidR="008547CB" w:rsidRDefault="008547CB" w:rsidP="008547CB">
      <w:pPr>
        <w:pStyle w:val="Akapitzlist"/>
        <w:ind w:left="1065" w:hanging="705"/>
      </w:pPr>
      <w:r>
        <w:t>4.</w:t>
      </w:r>
      <w:r>
        <w:rPr>
          <w:rFonts w:ascii="Times New Roman" w:hAnsi="Times New Roman"/>
          <w:sz w:val="14"/>
          <w:szCs w:val="14"/>
        </w:rPr>
        <w:t xml:space="preserve">               </w:t>
      </w:r>
      <w:r>
        <w:t>Wykonawca wnosi o potwierdzenie, iż Zamawiający dysponuje aktualnymi uzgodnieniami i warunkami wydanymi przez instytucje będące stronami w procesie inwestycyjnym, a ewentualne braki zostaną uzupełnione przez Zamawiającego.</w:t>
      </w:r>
    </w:p>
    <w:p w:rsidR="008547CB" w:rsidRPr="00FE4583" w:rsidRDefault="008547CB" w:rsidP="008547CB">
      <w:pPr>
        <w:ind w:left="1065" w:firstLine="3"/>
        <w:jc w:val="both"/>
      </w:pPr>
      <w:r w:rsidRPr="00FE4583">
        <w:t>Odp. TAK (zamawiający oczekuje jeszcze na wydanie decyzji o wydanie zezwolenia w trybie art. 56 ust 2 ustawy z dnia 16 kwietnia 2004 r. o ochronie przyrody na odstępstwo od zakazów względem gatunków roślin i grzybów objętych ochroną. Pozostałe uzgodnienia z gestorami oraz ewentualne przypadki wygaśnięcia decyzji lub uzgodnień przed przystąpieniem do Robót, Wykonawca zobligowany jest do uzyskania nowej decyzji/uzgodnienia. Koszty uzyskania i wynikające z zapisów decyzji/uzgodnień ponosi Wykonawca.</w:t>
      </w:r>
    </w:p>
    <w:p w:rsidR="008547CB" w:rsidRDefault="008547CB" w:rsidP="008547CB">
      <w:pPr>
        <w:pStyle w:val="Akapitzlist"/>
        <w:ind w:left="1065"/>
      </w:pPr>
    </w:p>
    <w:p w:rsidR="008547CB" w:rsidRDefault="008547CB" w:rsidP="008547CB">
      <w:pPr>
        <w:pStyle w:val="Akapitzlist"/>
        <w:ind w:left="1065" w:hanging="705"/>
      </w:pPr>
      <w:r>
        <w:t>5.</w:t>
      </w:r>
      <w:r>
        <w:rPr>
          <w:rFonts w:ascii="Times New Roman" w:hAnsi="Times New Roman"/>
          <w:sz w:val="14"/>
          <w:szCs w:val="14"/>
        </w:rPr>
        <w:t xml:space="preserve">               </w:t>
      </w:r>
      <w:r>
        <w:t>Wykonawca wnosi o wyszczególnienie, które materiały pochodzące z rozbiórek należy przewieźć na składowisko Zamawiającego? W przypadku konieczności przekazania materiałów rozbiórkowych do magazynu Zamawiającego wnosimy o podanie szczegółowej lokalizacji (adresu).</w:t>
      </w:r>
    </w:p>
    <w:p w:rsidR="00D95A5B" w:rsidRPr="00FE4583" w:rsidRDefault="00FE4583" w:rsidP="00FE4583">
      <w:pPr>
        <w:ind w:left="1134"/>
      </w:pPr>
      <w:r w:rsidRPr="00FE4583">
        <w:t>Odp.</w:t>
      </w:r>
      <w:r w:rsidR="00D95A5B" w:rsidRPr="00FE4583">
        <w:t xml:space="preserve"> Istniejące drogi o nawierzchni betonowej przewidziano do rozbiórki. Zakres rozbiórek pokazano na rysunku "Plan rozbiórek". Beton należy </w:t>
      </w:r>
      <w:proofErr w:type="spellStart"/>
      <w:r w:rsidR="00D95A5B" w:rsidRPr="00FE4583">
        <w:t>przekruszyć</w:t>
      </w:r>
      <w:proofErr w:type="spellEnd"/>
      <w:r w:rsidR="00D95A5B" w:rsidRPr="00FE4583">
        <w:t xml:space="preserve"> i wbudować jako Podbudowa pomocnicza.</w:t>
      </w:r>
    </w:p>
    <w:p w:rsidR="008547CB" w:rsidRDefault="008547CB" w:rsidP="008547CB">
      <w:pPr>
        <w:pStyle w:val="Akapitzlist"/>
        <w:ind w:left="1065"/>
      </w:pPr>
    </w:p>
    <w:p w:rsidR="008547CB" w:rsidRDefault="008547CB" w:rsidP="008547CB">
      <w:pPr>
        <w:pStyle w:val="Akapitzlist"/>
        <w:ind w:left="1065" w:hanging="705"/>
      </w:pPr>
      <w:r>
        <w:t>6.</w:t>
      </w:r>
      <w:r>
        <w:rPr>
          <w:rFonts w:ascii="Times New Roman" w:hAnsi="Times New Roman"/>
          <w:sz w:val="14"/>
          <w:szCs w:val="14"/>
        </w:rPr>
        <w:t xml:space="preserve">               </w:t>
      </w:r>
      <w:r>
        <w:t>Wykonawca wnosi o wyjaśnienie czy w ramach inwestycji Zamawiający będzie wymagał realizacji odcinków próbnych dla warstw konstrukcyjnych?</w:t>
      </w:r>
    </w:p>
    <w:p w:rsidR="00D95A5B" w:rsidRDefault="008547CB" w:rsidP="00FE4583">
      <w:pPr>
        <w:pStyle w:val="Akapitzlist"/>
        <w:ind w:left="1065"/>
      </w:pPr>
      <w:r>
        <w:t>W przypadku odpowiedzi twierdzącej wnosimy o określenie rodzaju, ilości oraz lokalizacji odcinków próbnych.</w:t>
      </w:r>
    </w:p>
    <w:p w:rsidR="00D95A5B" w:rsidRPr="00FE4583" w:rsidRDefault="00FE4583" w:rsidP="008547CB">
      <w:pPr>
        <w:pStyle w:val="Akapitzlist"/>
        <w:ind w:left="1065"/>
      </w:pPr>
      <w:r w:rsidRPr="00FE4583">
        <w:t xml:space="preserve">Odp. </w:t>
      </w:r>
      <w:r w:rsidR="00D95A5B" w:rsidRPr="00FE4583">
        <w:t>Nie ma potrzeby wykonywania odcinków próbnych.</w:t>
      </w:r>
    </w:p>
    <w:p w:rsidR="008547CB" w:rsidRDefault="008547CB" w:rsidP="008547CB">
      <w:pPr>
        <w:pStyle w:val="Akapitzlist"/>
        <w:ind w:left="1065"/>
      </w:pPr>
    </w:p>
    <w:p w:rsidR="008547CB" w:rsidRDefault="008547CB" w:rsidP="008547CB">
      <w:pPr>
        <w:pStyle w:val="Akapitzlist"/>
        <w:ind w:left="1065" w:hanging="705"/>
      </w:pPr>
      <w:r>
        <w:lastRenderedPageBreak/>
        <w:t>7.</w:t>
      </w:r>
      <w:r>
        <w:rPr>
          <w:rFonts w:ascii="Times New Roman" w:hAnsi="Times New Roman"/>
          <w:sz w:val="14"/>
          <w:szCs w:val="14"/>
        </w:rPr>
        <w:t xml:space="preserve">               </w:t>
      </w:r>
      <w:r>
        <w:t>Wykonawca wnosi o podanie wymaganego okresu gwarancji na oznakowanie poziome oraz zieleń?</w:t>
      </w:r>
    </w:p>
    <w:p w:rsidR="008547CB" w:rsidRPr="00FE4583" w:rsidRDefault="008547CB" w:rsidP="008547CB">
      <w:pPr>
        <w:pStyle w:val="Akapitzlist"/>
        <w:ind w:left="1065"/>
      </w:pPr>
      <w:r w:rsidRPr="00FE4583">
        <w:t xml:space="preserve">Odp. 5 lat (jak dla całego </w:t>
      </w:r>
      <w:r w:rsidR="00FE4583" w:rsidRPr="00FE4583">
        <w:t>zamówienia).</w:t>
      </w:r>
    </w:p>
    <w:p w:rsidR="008547CB" w:rsidRDefault="008547CB" w:rsidP="008547CB">
      <w:pPr>
        <w:pStyle w:val="Akapitzlist"/>
        <w:ind w:left="1065"/>
      </w:pPr>
    </w:p>
    <w:p w:rsidR="008547CB" w:rsidRDefault="008547CB" w:rsidP="008547CB">
      <w:pPr>
        <w:pStyle w:val="Akapitzlist"/>
        <w:ind w:left="1065" w:hanging="705"/>
      </w:pPr>
      <w:r>
        <w:t>8.</w:t>
      </w:r>
      <w:r>
        <w:rPr>
          <w:rFonts w:ascii="Times New Roman" w:hAnsi="Times New Roman"/>
          <w:sz w:val="14"/>
          <w:szCs w:val="14"/>
        </w:rPr>
        <w:t xml:space="preserve">               </w:t>
      </w:r>
      <w:r>
        <w:t>Wykonawca wnosi o wyjaśnienie czy podczas regulacji urządzeń uzbrojenia technicznego (włazów, wpustów, zaworów itd.) należy wymienić wszystkie elementy betonowe oraz żeliwne na nowe? Zamawiający wyrazi zgodę na wykorzystanie elementów rozbiórkowych?</w:t>
      </w:r>
    </w:p>
    <w:p w:rsidR="00D95A5B" w:rsidRPr="00FE4583" w:rsidRDefault="00B43E63" w:rsidP="00FE4583">
      <w:pPr>
        <w:pStyle w:val="Akapitzlist"/>
        <w:ind w:left="1065"/>
        <w:jc w:val="both"/>
        <w:rPr>
          <w:rStyle w:val="Uwydatnienie"/>
          <w:i w:val="0"/>
        </w:rPr>
      </w:pPr>
      <w:r w:rsidRPr="00FE4583">
        <w:rPr>
          <w:rStyle w:val="Uwydatnienie"/>
          <w:i w:val="0"/>
        </w:rPr>
        <w:t>Odp.   Przedmiotowy teren TPT jest terenem nieuzbrojonym i przytoczone wyżej przypadki raczej nie występują. Regulacja urządzeń uzbrojenia technicznego będzie dotyczyć przede wszystkim nowego uzbrojenia wykonywanego w nowych drogach. Ewentualnie włączenia projektowanych sieci w istniejące przewody główne w ul. Poznańskiej mogą wymagać jakiejś korekty wysokościowej ale jeśli coś takie wystąpi to inspektor nadzoru na budowie będzie musiał podjąć decyzję jakich materiałów w danym przypadku użyć, czy stan techniczny istniejących</w:t>
      </w:r>
      <w:r w:rsidR="00FE4583" w:rsidRPr="00FE4583">
        <w:rPr>
          <w:rStyle w:val="Uwydatnienie"/>
          <w:i w:val="0"/>
        </w:rPr>
        <w:t xml:space="preserve"> pozwoli na skorzystanie z eleme</w:t>
      </w:r>
      <w:r w:rsidRPr="00FE4583">
        <w:rPr>
          <w:rStyle w:val="Uwydatnienie"/>
          <w:i w:val="0"/>
        </w:rPr>
        <w:t>ntów rozbiórkowych.</w:t>
      </w:r>
      <w:r w:rsidR="00FE4583" w:rsidRPr="00FE4583">
        <w:rPr>
          <w:rStyle w:val="Uwydatnienie"/>
          <w:i w:val="0"/>
        </w:rPr>
        <w:t xml:space="preserve"> </w:t>
      </w:r>
      <w:r w:rsidR="00D95A5B" w:rsidRPr="00FE4583">
        <w:t>Jeżeli elementy będą w złym stanie technicznym, należy je wymienić po akceptacji IK.</w:t>
      </w:r>
    </w:p>
    <w:p w:rsidR="001D6C8B" w:rsidRDefault="001D6C8B" w:rsidP="00B43E63">
      <w:pPr>
        <w:pStyle w:val="Akapitzlist"/>
        <w:ind w:left="1065"/>
        <w:jc w:val="both"/>
        <w:rPr>
          <w:rFonts w:ascii="Times New Roman" w:hAnsi="Times New Roman"/>
        </w:rPr>
      </w:pPr>
    </w:p>
    <w:p w:rsidR="008547CB" w:rsidRDefault="008547CB" w:rsidP="00FE4583">
      <w:pPr>
        <w:ind w:left="993"/>
      </w:pPr>
      <w:r>
        <w:t>WARUNKI SZCZEGÓLNE KONTRAKTU:</w:t>
      </w:r>
    </w:p>
    <w:p w:rsidR="008547CB" w:rsidRDefault="008547CB" w:rsidP="008547CB"/>
    <w:p w:rsidR="008547CB" w:rsidRDefault="008547CB" w:rsidP="008547CB">
      <w:pPr>
        <w:pStyle w:val="Akapitzlist"/>
        <w:ind w:left="1065" w:hanging="705"/>
      </w:pPr>
      <w:r>
        <w:t>9.</w:t>
      </w:r>
      <w:r>
        <w:rPr>
          <w:rFonts w:ascii="Times New Roman" w:hAnsi="Times New Roman"/>
          <w:sz w:val="14"/>
          <w:szCs w:val="14"/>
        </w:rPr>
        <w:t xml:space="preserve">               </w:t>
      </w:r>
      <w:r>
        <w:t>Klauzula 4.1</w:t>
      </w:r>
    </w:p>
    <w:p w:rsidR="008547CB" w:rsidRDefault="008547CB" w:rsidP="008547CB"/>
    <w:p w:rsidR="008547CB" w:rsidRDefault="008547CB" w:rsidP="008547CB">
      <w:pPr>
        <w:rPr>
          <w:i/>
          <w:iCs/>
        </w:rPr>
      </w:pPr>
      <w:r>
        <w:rPr>
          <w:i/>
          <w:iCs/>
        </w:rPr>
        <w:t>Powiadomienie dotyczące Dokumentacji projektowej i Specyfikacji Technicznej powinno zostać przekazane Inżynierowi w terminie do 14 dni od daty ich otrzymania. W przypadku braku powiadomienia w powyższym terminie Wykonawca nie będzie miał prawa do uwolnienia się od odpowiedzialności za wady Robót spowodowane wadami dokumentacji możliwymi do wykrycia przez Wykonawcę.</w:t>
      </w:r>
    </w:p>
    <w:p w:rsidR="008547CB" w:rsidRDefault="008547CB" w:rsidP="008547CB"/>
    <w:p w:rsidR="008547CB" w:rsidRDefault="008547CB" w:rsidP="008547CB">
      <w:r>
        <w:t xml:space="preserve">Z uwagi na to, że Wykonawca nie ma obowiązku przeprowadzania </w:t>
      </w:r>
      <w:proofErr w:type="spellStart"/>
      <w:r>
        <w:rPr>
          <w:i/>
          <w:iCs/>
        </w:rPr>
        <w:t>due</w:t>
      </w:r>
      <w:proofErr w:type="spellEnd"/>
      <w:r>
        <w:rPr>
          <w:i/>
          <w:iCs/>
        </w:rPr>
        <w:t xml:space="preserve"> </w:t>
      </w:r>
      <w:proofErr w:type="spellStart"/>
      <w:r>
        <w:rPr>
          <w:i/>
          <w:iCs/>
        </w:rPr>
        <w:t>diligence</w:t>
      </w:r>
      <w:proofErr w:type="spellEnd"/>
      <w:r>
        <w:t xml:space="preserve"> dokumentacji dostarczonej przez Zamawiającego przed przystąpieniem do robót, Wykonawca wnosi o wykreślenie powyższego zapisu. Wykonawca ma obowiązek zgłosić takie uwagi niezwłocznie po ich wykryciu, na etapie realizacji robót, w miarę ich postępu. W szczególności zaś Zamawiający nie powinien przenosić odpowiedzialności z tytułu błędów i wad dostarczonej przez siebie dokumentacji na Wykonawcę.</w:t>
      </w:r>
    </w:p>
    <w:p w:rsidR="00FE4583" w:rsidRDefault="00FE4583" w:rsidP="008547CB"/>
    <w:p w:rsidR="00055419" w:rsidRPr="00FE4583" w:rsidRDefault="008547CB" w:rsidP="008547CB">
      <w:r w:rsidRPr="00FE4583">
        <w:t xml:space="preserve">Odp. </w:t>
      </w:r>
      <w:r w:rsidR="00FE4583" w:rsidRPr="00FE4583">
        <w:t>Zapis pozostaje bez zmian.</w:t>
      </w:r>
      <w:r w:rsidRPr="00FE4583">
        <w:t xml:space="preserve"> Oferent już na etapie postępowania ma możliwość zapoznania się z cała dokumentacją (vel opisem przedmiotu zamówienia) p</w:t>
      </w:r>
      <w:r w:rsidR="007F2AE1" w:rsidRPr="00FE4583">
        <w:t>onieważ w całości została udostę</w:t>
      </w:r>
      <w:r w:rsidRPr="00FE4583">
        <w:t>pniona jako załącznik do SIWZ.</w:t>
      </w:r>
      <w:r w:rsidR="007F2AE1" w:rsidRPr="00FE4583">
        <w:t xml:space="preserve"> </w:t>
      </w:r>
    </w:p>
    <w:p w:rsidR="00055419" w:rsidRDefault="00055419" w:rsidP="008547CB"/>
    <w:p w:rsidR="008547CB" w:rsidRDefault="008547CB" w:rsidP="008547CB">
      <w:pPr>
        <w:pStyle w:val="Akapitzlist"/>
        <w:ind w:left="1065" w:hanging="705"/>
      </w:pPr>
      <w:r>
        <w:t>10.</w:t>
      </w:r>
      <w:r>
        <w:rPr>
          <w:rFonts w:ascii="Times New Roman" w:hAnsi="Times New Roman"/>
          <w:sz w:val="14"/>
          <w:szCs w:val="14"/>
        </w:rPr>
        <w:t xml:space="preserve">            </w:t>
      </w:r>
      <w:r>
        <w:t>Klauzula 4.4</w:t>
      </w:r>
    </w:p>
    <w:p w:rsidR="008547CB" w:rsidRDefault="008547CB" w:rsidP="008547CB">
      <w:pPr>
        <w:rPr>
          <w:i/>
          <w:iCs/>
        </w:rPr>
      </w:pPr>
      <w:r>
        <w:rPr>
          <w:i/>
          <w:iCs/>
        </w:rPr>
        <w:t>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najpóźniej 14 dni przed planowanym terminem zawarcia umowy.</w:t>
      </w:r>
    </w:p>
    <w:p w:rsidR="008547CB" w:rsidRDefault="008547CB" w:rsidP="008547CB"/>
    <w:p w:rsidR="008547CB" w:rsidRDefault="008547CB" w:rsidP="008547CB">
      <w:r>
        <w:t>Wykonawca wnosi o skrócenie terminu do 7 dni, co znacznie usprawni to proces podzlecania robót  przebieg realizacji inwestycji.</w:t>
      </w:r>
    </w:p>
    <w:p w:rsidR="00FE4583" w:rsidRDefault="00FE4583" w:rsidP="008547CB"/>
    <w:p w:rsidR="005D5918" w:rsidRPr="00FE4583" w:rsidRDefault="008547CB" w:rsidP="008547CB">
      <w:r w:rsidRPr="00FE4583">
        <w:t xml:space="preserve">Odp. </w:t>
      </w:r>
      <w:r w:rsidR="00FE4583" w:rsidRPr="00FE4583">
        <w:t>Z</w:t>
      </w:r>
      <w:r w:rsidR="005D5918" w:rsidRPr="00FE4583">
        <w:t>mi</w:t>
      </w:r>
      <w:r w:rsidR="00FE4583" w:rsidRPr="00FE4583">
        <w:t xml:space="preserve">enia się </w:t>
      </w:r>
      <w:r w:rsidR="005D5918" w:rsidRPr="00FE4583">
        <w:t xml:space="preserve"> 14</w:t>
      </w:r>
      <w:r w:rsidR="00FE4583" w:rsidRPr="00FE4583">
        <w:t xml:space="preserve"> dni</w:t>
      </w:r>
      <w:r w:rsidR="005D5918" w:rsidRPr="00FE4583">
        <w:t xml:space="preserve"> na 7 dni</w:t>
      </w:r>
      <w:r w:rsidR="00FE4583" w:rsidRPr="00FE4583">
        <w:t>.</w:t>
      </w:r>
    </w:p>
    <w:p w:rsidR="008547CB" w:rsidRDefault="008547CB" w:rsidP="008547CB">
      <w:pPr>
        <w:rPr>
          <w:i/>
          <w:iCs/>
        </w:rPr>
      </w:pPr>
    </w:p>
    <w:p w:rsidR="008547CB" w:rsidRDefault="008547CB" w:rsidP="008547CB">
      <w:pPr>
        <w:rPr>
          <w:i/>
          <w:iCs/>
        </w:rPr>
      </w:pPr>
      <w:r>
        <w:rPr>
          <w:i/>
          <w:iCs/>
        </w:rPr>
        <w:t>Zamawiający ustala następujące wymagania dotyczące umów o podwykonawstwo, których przedmiotem będą roboty budowlane, których niespełnienie spowoduje zgłoszenie zastrzeżeń lub sprzeciwu:</w:t>
      </w:r>
    </w:p>
    <w:p w:rsidR="008547CB" w:rsidRDefault="008547CB" w:rsidP="008547CB"/>
    <w:p w:rsidR="008547CB" w:rsidRDefault="008547CB" w:rsidP="008547CB">
      <w:pPr>
        <w:rPr>
          <w:i/>
          <w:iCs/>
        </w:rPr>
      </w:pPr>
      <w:r>
        <w:rPr>
          <w:i/>
          <w:iCs/>
        </w:rPr>
        <w:lastRenderedPageBreak/>
        <w:t>(b)         wynagrodzenie dla Podwykonawcy lub dalszego Podwykonawcy musi być wynagrodzeniem ryczałtowym;</w:t>
      </w:r>
    </w:p>
    <w:p w:rsidR="008547CB" w:rsidRDefault="008547CB" w:rsidP="008547CB">
      <w:pPr>
        <w:ind w:left="705" w:hanging="705"/>
        <w:rPr>
          <w:i/>
          <w:iCs/>
        </w:rPr>
      </w:pPr>
      <w:r>
        <w:rPr>
          <w:i/>
          <w:iCs/>
        </w:rPr>
        <w:t>(c)          wynagrodzenie należne na podstawie umów o podwykonawstwo musi odpowiadać procentowemu zaawansowaniu prac lub stanowić wynagrodzenie za odpowiednią część odebranych prac i nie może być wymagalne przed potwierdzeniem wykonania prac (odpowiedniej części). Termin wymagalności poszczególnych części, z wyjątkiem ostatniej, które nie może wynosić więcej niż 5% wynagrodzenia wynikającego z umowy o podwykonawstwo, nie może być późniejszy niż 45 dni przed terminem wymagalności należności dla Wykonawcy wynikającej z faktury dotyczącej kwoty poświadczonej w świadectwie płatności wystawionym po wydaniu Świadectwa Przejęcia;</w:t>
      </w:r>
    </w:p>
    <w:p w:rsidR="008547CB" w:rsidRDefault="008547CB" w:rsidP="008547CB">
      <w:pPr>
        <w:ind w:left="705" w:hanging="705"/>
        <w:rPr>
          <w:i/>
          <w:iCs/>
        </w:rPr>
      </w:pPr>
      <w:r>
        <w:rPr>
          <w:i/>
          <w:iCs/>
        </w:rPr>
        <w:t>(i)           termin wymagalności roszczenia o zapłatę wynagrodzenia (lub którejkolwiek części wynagrodzenia) dla Podwykonawcy lub dalszego Podwykonawcy nie może być późniejszy niż 14 dni od daty wydania Świadectwa Przejęcia, z zastrzeżeniem wymagania wskazanego w podpunkcie (c);</w:t>
      </w:r>
    </w:p>
    <w:p w:rsidR="008547CB" w:rsidRDefault="008547CB" w:rsidP="008547CB">
      <w:pPr>
        <w:ind w:left="705" w:hanging="705"/>
        <w:rPr>
          <w:i/>
          <w:iCs/>
        </w:rPr>
      </w:pPr>
      <w:r>
        <w:rPr>
          <w:i/>
          <w:iCs/>
        </w:rPr>
        <w:t>(j)          termin zapłaty wynagrodzenia dla Podwykonawcy lub dalszego Podwykonawcy nie może być dłuższy niż 14 dni od otrzymania faktury lub rachunku przez odpowiednio Wykonawcę lub Podwykonawcę;</w:t>
      </w:r>
    </w:p>
    <w:p w:rsidR="008547CB" w:rsidRDefault="008547CB" w:rsidP="008547CB">
      <w:pPr>
        <w:ind w:left="705" w:hanging="705"/>
        <w:rPr>
          <w:i/>
          <w:iCs/>
        </w:rPr>
      </w:pPr>
      <w:r>
        <w:rPr>
          <w:i/>
          <w:iCs/>
        </w:rPr>
        <w:t>(m)        wynagrodzenie wynikające z umowy o podwykonawstwo nie może być wygórowane, tj. w szczególności wynagrodzenie dla Podwykonawcy (i odpowiednio dalszego Podwykonawcy) nie może być wyższe o więcej niż 5% od zapłaty za tę część prac jaka odpowiednio należy się Wykonawcy zgodnie z Kontraktem.</w:t>
      </w:r>
    </w:p>
    <w:p w:rsidR="008547CB" w:rsidRDefault="008547CB" w:rsidP="008547CB"/>
    <w:p w:rsidR="008547CB" w:rsidRDefault="008547CB" w:rsidP="008547CB"/>
    <w:p w:rsidR="008547CB" w:rsidRDefault="008547CB" w:rsidP="008547CB">
      <w:r>
        <w:t>Wykonawca wnosi o:</w:t>
      </w:r>
    </w:p>
    <w:p w:rsidR="008547CB" w:rsidRDefault="008547CB" w:rsidP="008547CB">
      <w:pPr>
        <w:ind w:left="708" w:hanging="705"/>
      </w:pPr>
      <w:r>
        <w:t>(b)          możliwość umieszczenia w umowach o podwykonawstwo robót budowlanych zapisu o wynagrodzeniu kosztorysowym z jednoczesnym zastrzeżeniem, że wynagrodzenie takie nie przekroczy określonej kwoty. Wykonawca przewiduje, że mogą wystąpić sytuacje, w których ilość robót do wykonania będzie mogła zostać określona dopiero na etapie ich realizacji, a wtedy też stosowniejsze będzie rozliczanie się z podwykonawcą na podstawie obmiaru robót.</w:t>
      </w:r>
    </w:p>
    <w:p w:rsidR="008547CB" w:rsidRDefault="008547CB" w:rsidP="008547CB">
      <w:pPr>
        <w:ind w:left="705" w:hanging="705"/>
      </w:pPr>
      <w:r>
        <w:t>(c)          wykreślenie zapisu, który w sposób nadmierny i nieuzasadniony ingeruje w zasadę swobody zawierania umów pomiędzy Wykonawcą a jego podwykonawcami. Istnieją sytuacje, w których, ze względów handlowych, Wykonawca może chcieć zdecydować o dokonywaniu przedpłaty (w szczególności w przypadku konieczności zamówienia materiałów wykonywanych na zamówienie). Dalsza część zapisu nadmiernie komplikuje zasady płatności pomiędzy Wykonawcą a jego podwykonawcami oraz może być sprzeczna z poprzedzającymi go zapisami – jeśli roboty podwykonawcy będą wykonywane w jednym lub dwóch etapach, wartość ostatniej faktury w wysokości 5% nie będzie odpowiadać procentowemu zaawansowaniu prac podwykonawcy. Zamiast dalszej części zapisu dotyczącego terminu wymagalności wynagrodzenia Podwykonawcy, Wykonawca proponuje doprecyzować, że przed zapłatą ostatniej faktury Wykonawcy, będzie musiał on okazać dowody zapłaty wynagrodzenia podwykonawców.</w:t>
      </w:r>
    </w:p>
    <w:p w:rsidR="008547CB" w:rsidRDefault="008547CB" w:rsidP="008547CB">
      <w:pPr>
        <w:ind w:left="705" w:hanging="705"/>
      </w:pPr>
      <w:r>
        <w:t>(i)          zmianę zapisu w taki sposób, że przed zapłatą ostatniej faktury Wykonawcy, będzie musiał on okazać dowody zapłaty wynagrodzenia podwykonawców.</w:t>
      </w:r>
    </w:p>
    <w:p w:rsidR="008547CB" w:rsidRDefault="008547CB" w:rsidP="008547CB">
      <w:r>
        <w:t>(j)           wydłużenie terminu do 30 dni, co będzie zgodne ze standardami rynkowymi; rozwiązanie takie dopuszcza ponadto ustawa pzp;</w:t>
      </w:r>
    </w:p>
    <w:p w:rsidR="008547CB" w:rsidRDefault="008547CB" w:rsidP="008547CB">
      <w:pPr>
        <w:ind w:left="705" w:hanging="705"/>
      </w:pPr>
      <w:r>
        <w:t xml:space="preserve">(m)        wykreślenie zapisu. Decyzją i ryzykiem Wykonawcy jest ewentualne powierzenie realizacji części robót podwykonawcy za wynagrodzeniem wyższym niż przewidziane w kosztorysie ofertowym oraz późniejsze poszukiwanie możliwości realizacji innych robót w niższych cenach lub zmniejszenie zysku Wykonawcy. W związku z powyższym, Wykonawca wnosi o wykreślenie przywołanego zapisu. Wykonawca proponuje zapis mówiący, że suma wynagrodzeń podwykonawców nie może przekroczyć kwoty wynagrodzenia umownego Wykonawcy, który to zapis skutecznie uchroni Zamawiającego przed ponoszeniem solidarnej odpowiedzialności w kwocie wyższej niż kwota wynagrodzenia umownego. </w:t>
      </w:r>
    </w:p>
    <w:p w:rsidR="00FE4583" w:rsidRDefault="00FE4583" w:rsidP="00FE4583">
      <w:pPr>
        <w:rPr>
          <w:color w:val="FF0000"/>
        </w:rPr>
      </w:pPr>
    </w:p>
    <w:p w:rsidR="007C10BF" w:rsidRPr="00FE4583" w:rsidRDefault="007C10BF" w:rsidP="00FE4583">
      <w:r w:rsidRPr="00FE4583">
        <w:lastRenderedPageBreak/>
        <w:t>Odp</w:t>
      </w:r>
      <w:r w:rsidR="00FE4583" w:rsidRPr="00FE4583">
        <w:t>. Zapisy pozostają bez zmian.</w:t>
      </w:r>
    </w:p>
    <w:p w:rsidR="008547CB" w:rsidRDefault="008547CB" w:rsidP="008547CB">
      <w:r>
        <w:t xml:space="preserve">         </w:t>
      </w:r>
    </w:p>
    <w:p w:rsidR="008547CB" w:rsidRDefault="008547CB" w:rsidP="008547CB">
      <w:r>
        <w:t>11.          Klauzula 4.11</w:t>
      </w:r>
    </w:p>
    <w:p w:rsidR="008547CB" w:rsidRDefault="008547CB" w:rsidP="008547CB"/>
    <w:p w:rsidR="008547CB" w:rsidRDefault="008547CB" w:rsidP="008547CB">
      <w:pPr>
        <w:rPr>
          <w:i/>
          <w:iCs/>
        </w:rPr>
      </w:pPr>
      <w:r>
        <w:rPr>
          <w:i/>
          <w:iCs/>
        </w:rPr>
        <w:t>Uznaje się, iż w celu dokładnego zrozumienia zakresu Robót i ustalenia wystarczalności Zatwierdzonej Kwoty Kontraktowej, Wykonawca przed złożeniem Oferty dogłębnie zaznajomił się z zawartością i wymaganiami Specyfikacji Istotnych Warunków Zamówienia, w tym Warunkami Kontraktu.</w:t>
      </w:r>
    </w:p>
    <w:p w:rsidR="008547CB" w:rsidRDefault="008547CB" w:rsidP="008547CB"/>
    <w:p w:rsidR="008547CB" w:rsidRDefault="008547CB" w:rsidP="008547CB">
      <w:r>
        <w:t xml:space="preserve">Wykonawca zwraca się o wykreślenie zapisu. Na etapie postępowania przetargowego i podpisywania Umowy Wykonawca nie ma obowiązku przeprowadzania </w:t>
      </w:r>
      <w:proofErr w:type="spellStart"/>
      <w:r>
        <w:rPr>
          <w:i/>
          <w:iCs/>
        </w:rPr>
        <w:t>due</w:t>
      </w:r>
      <w:proofErr w:type="spellEnd"/>
      <w:r>
        <w:rPr>
          <w:i/>
          <w:iCs/>
        </w:rPr>
        <w:t xml:space="preserve"> </w:t>
      </w:r>
      <w:proofErr w:type="spellStart"/>
      <w:r>
        <w:rPr>
          <w:i/>
          <w:iCs/>
        </w:rPr>
        <w:t>diligence</w:t>
      </w:r>
      <w:proofErr w:type="spellEnd"/>
      <w:r>
        <w:t xml:space="preserve"> dokumentacji dostarczonej przez Zamawiającego (przy czym dokumentacja projektowa jest stanowi część SIWZ). Wykonawca ma obowiązek zgłosić takie uwagi niezwłocznie po ich wykryciu, na etapie realizacji robót.</w:t>
      </w:r>
    </w:p>
    <w:p w:rsidR="00FE4583" w:rsidRDefault="00FE4583" w:rsidP="00FE4583">
      <w:pPr>
        <w:rPr>
          <w:color w:val="002060"/>
        </w:rPr>
      </w:pPr>
    </w:p>
    <w:p w:rsidR="007C10BF" w:rsidRPr="00FE4583" w:rsidRDefault="008547CB" w:rsidP="00FE4583">
      <w:r w:rsidRPr="00FE4583">
        <w:t xml:space="preserve">Odp. </w:t>
      </w:r>
      <w:r w:rsidR="00FE4583" w:rsidRPr="00FE4583">
        <w:t>Zapisy pozostają bez zmian.</w:t>
      </w:r>
    </w:p>
    <w:p w:rsidR="008547CB" w:rsidRDefault="008547CB" w:rsidP="008547CB"/>
    <w:p w:rsidR="008547CB" w:rsidRDefault="008547CB" w:rsidP="008547CB">
      <w:r>
        <w:t>12.          Klauzula 4.27</w:t>
      </w:r>
    </w:p>
    <w:p w:rsidR="008547CB" w:rsidRDefault="008547CB" w:rsidP="008547CB">
      <w:r>
        <w:t>Wykonawca wnosi o potwierdzenie, że nie będzie ponosił kosztów naprawy ewentualnych uszkodzeń niezinwentaryzowanych instalacji.</w:t>
      </w:r>
    </w:p>
    <w:p w:rsidR="00FE4583" w:rsidRDefault="00FE4583" w:rsidP="008547CB"/>
    <w:p w:rsidR="007C10BF" w:rsidRPr="00D16A67" w:rsidRDefault="008547CB" w:rsidP="008547CB">
      <w:r w:rsidRPr="00D16A67">
        <w:t>Odp.</w:t>
      </w:r>
      <w:r w:rsidR="00FE4583" w:rsidRPr="00D16A67">
        <w:t xml:space="preserve"> </w:t>
      </w:r>
      <w:r w:rsidR="00D16A67" w:rsidRPr="00D16A67">
        <w:t>Wykonawca będzie zobowiązany do poniesienia ww. kosztów</w:t>
      </w:r>
      <w:r w:rsidR="00FE4583" w:rsidRPr="00D16A67">
        <w:t xml:space="preserve">, </w:t>
      </w:r>
      <w:r w:rsidR="00D16A67" w:rsidRPr="00D16A67">
        <w:t xml:space="preserve">niemniej jednak </w:t>
      </w:r>
      <w:r w:rsidR="007C10BF" w:rsidRPr="00D16A67">
        <w:t>przedmiotowy teren jest terenem nieuzbrojonym w związku z powyższym nie pr</w:t>
      </w:r>
      <w:r w:rsidR="00FE4583" w:rsidRPr="00D16A67">
        <w:t>zewidu</w:t>
      </w:r>
      <w:r w:rsidR="00D16A67">
        <w:t>je się</w:t>
      </w:r>
      <w:r w:rsidR="00D16A67" w:rsidRPr="00D16A67">
        <w:t xml:space="preserve"> </w:t>
      </w:r>
      <w:proofErr w:type="spellStart"/>
      <w:r w:rsidR="00FE4583" w:rsidRPr="00D16A67">
        <w:t>niezinwentyryzowa</w:t>
      </w:r>
      <w:r w:rsidR="00D16A67">
        <w:t>-</w:t>
      </w:r>
      <w:r w:rsidR="00FE4583" w:rsidRPr="00D16A67">
        <w:t>nych</w:t>
      </w:r>
      <w:proofErr w:type="spellEnd"/>
      <w:r w:rsidR="00FE4583" w:rsidRPr="00D16A67">
        <w:t xml:space="preserve"> instalacji.</w:t>
      </w:r>
    </w:p>
    <w:p w:rsidR="008547CB" w:rsidRDefault="008547CB" w:rsidP="008547CB"/>
    <w:p w:rsidR="008547CB" w:rsidRDefault="008547CB" w:rsidP="008547CB">
      <w:r w:rsidRPr="0013221C">
        <w:t>13.          Klauzula 4.29</w:t>
      </w:r>
    </w:p>
    <w:p w:rsidR="008547CB" w:rsidRPr="00741419" w:rsidRDefault="008547CB" w:rsidP="008547CB">
      <w:pPr>
        <w:rPr>
          <w:i/>
          <w:iCs/>
        </w:rPr>
      </w:pPr>
      <w:r w:rsidRPr="00741419">
        <w:rPr>
          <w:i/>
          <w:iCs/>
        </w:rPr>
        <w:t>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8547CB" w:rsidRDefault="008547CB" w:rsidP="008547CB"/>
    <w:p w:rsidR="00FE4583" w:rsidRDefault="008547CB" w:rsidP="008547CB">
      <w:r>
        <w:t>Wykonawca wnosi o wykreślenie zapisu oraz zastrzeżenie kar za zwłokę, a nie opóźnienie. Całkowicie bezzasadne jest przenoszenie ryzyka przekroczenia terminu realizacji zadania z przyczyn nieleżących po stronie Wykonawcy – istnieje szereg okoliczności, na które żadna ze Stron nie ma wpływu (np. niezinwentaryzowane kolizje, opóźnienia organów administracji, brak możliwości realizacji robót); w świetle powyższych zapisów, ich konsekwencje ponosić będzie Wykonawca.</w:t>
      </w:r>
    </w:p>
    <w:p w:rsidR="008547CB" w:rsidRDefault="008547CB" w:rsidP="008547CB">
      <w:r>
        <w:t xml:space="preserve"> </w:t>
      </w:r>
    </w:p>
    <w:p w:rsidR="008547CB" w:rsidRPr="00FE4583" w:rsidRDefault="008547CB" w:rsidP="008547CB">
      <w:r w:rsidRPr="00FE4583">
        <w:t xml:space="preserve">Odp. </w:t>
      </w:r>
      <w:r w:rsidR="001A1FF1" w:rsidRPr="00FE4583">
        <w:t>Umowa przewiduje szereg sytuacji, w których Wykonawca może wystąpić o wydłużenie Czasu na ukończenie, w szczególności klauzula 8.4.</w:t>
      </w:r>
      <w:r w:rsidR="00FE4583" w:rsidRPr="00FE4583">
        <w:t>, 8.5 i 22 (instytucja roszczenie wykonawcy).</w:t>
      </w:r>
      <w:r w:rsidR="0013221C" w:rsidRPr="00FE4583">
        <w:t xml:space="preserve"> </w:t>
      </w:r>
    </w:p>
    <w:p w:rsidR="00741419" w:rsidRPr="00741419" w:rsidRDefault="00741419" w:rsidP="008547CB">
      <w:pPr>
        <w:rPr>
          <w:color w:val="FF0000"/>
        </w:rPr>
      </w:pPr>
    </w:p>
    <w:p w:rsidR="008547CB" w:rsidRDefault="008547CB" w:rsidP="008547CB">
      <w:pPr>
        <w:rPr>
          <w:i/>
          <w:iCs/>
        </w:rPr>
      </w:pPr>
      <w:r>
        <w:rPr>
          <w:i/>
          <w:iCs/>
        </w:rPr>
        <w:t>Wykonawca zapłaci Zamawiającemu kary umowne za:</w:t>
      </w:r>
    </w:p>
    <w:p w:rsidR="008547CB" w:rsidRDefault="008547CB" w:rsidP="008547CB">
      <w:pPr>
        <w:rPr>
          <w:i/>
          <w:iCs/>
        </w:rPr>
      </w:pPr>
      <w:r>
        <w:rPr>
          <w:i/>
          <w:iCs/>
        </w:rPr>
        <w:t>(e)          przekroczenie terminu dostarczenia Zamawiającemu przedłużenia Zabezpieczenia lub nowego Zabezpieczenia, zgodnie z klauzulą 4.2 [Zabezpieczenie Wykonania], w wysokości 0,05% Zatwierdzonej Kwoty Kontraktowej netto określonej w Akcie Umowy za każdy dzień opóźnienia.</w:t>
      </w:r>
    </w:p>
    <w:p w:rsidR="008547CB" w:rsidRDefault="008547CB" w:rsidP="008547CB"/>
    <w:p w:rsidR="008547CB" w:rsidRDefault="008547CB" w:rsidP="008547CB">
      <w:r>
        <w:t>Wykonawca wnosi, aby Zamawiający uprawniony był do naliczenia powyższej kary umownej po uprzednim wezwaniu Wykonawcy do przedłożenia stosownego dokumentu Zabezpieczenia oraz bezskutecznym upływie dodatkowego odpowiedniego terminu.</w:t>
      </w:r>
    </w:p>
    <w:p w:rsidR="003F6B76" w:rsidRDefault="003F6B76" w:rsidP="008547CB"/>
    <w:p w:rsidR="00691061" w:rsidRPr="003F6B76" w:rsidRDefault="008547CB" w:rsidP="008547CB">
      <w:r w:rsidRPr="003F6B76">
        <w:t xml:space="preserve">Odp. </w:t>
      </w:r>
      <w:r w:rsidR="003F6B76" w:rsidRPr="003F6B76">
        <w:t>Zapis pozostaje bez zmian. W</w:t>
      </w:r>
      <w:r w:rsidR="00691061" w:rsidRPr="003F6B76">
        <w:t xml:space="preserve">ykonawca </w:t>
      </w:r>
      <w:r w:rsidR="00095448" w:rsidRPr="003F6B76">
        <w:t xml:space="preserve">jako profesjonalista </w:t>
      </w:r>
      <w:r w:rsidR="00691061" w:rsidRPr="003F6B76">
        <w:t xml:space="preserve">powinien </w:t>
      </w:r>
      <w:r w:rsidR="00095448" w:rsidRPr="003F6B76">
        <w:t>pilnować terminu</w:t>
      </w:r>
      <w:r w:rsidR="00691061" w:rsidRPr="003F6B76">
        <w:t xml:space="preserve"> ważność jego zabezpieczenia</w:t>
      </w:r>
      <w:r w:rsidR="003F6B76" w:rsidRPr="003F6B76">
        <w:t>.</w:t>
      </w:r>
    </w:p>
    <w:p w:rsidR="00741419" w:rsidRDefault="00741419" w:rsidP="008547CB"/>
    <w:p w:rsidR="008547CB" w:rsidRDefault="008547CB" w:rsidP="008547CB">
      <w:pPr>
        <w:rPr>
          <w:i/>
          <w:iCs/>
        </w:rPr>
      </w:pPr>
      <w:r>
        <w:rPr>
          <w:i/>
          <w:iCs/>
        </w:rPr>
        <w:t xml:space="preserve">W przypadku niewykonania lub nienależytego wykonania obowiązków skutkującym koniecznością zwrotu otrzymanych przez Zamawiającego środków z funduszy zewnętrznych, Wykonawca zapłaci </w:t>
      </w:r>
      <w:r>
        <w:rPr>
          <w:i/>
          <w:iCs/>
        </w:rPr>
        <w:lastRenderedPageBreak/>
        <w:t>Zamawiającemu karę umowną w wysokości równowartości zwróconych środków wraz z należnymi odsetkami.</w:t>
      </w:r>
    </w:p>
    <w:p w:rsidR="008547CB" w:rsidRDefault="008547CB" w:rsidP="008547CB">
      <w:pPr>
        <w:rPr>
          <w:i/>
          <w:iCs/>
        </w:rPr>
      </w:pPr>
    </w:p>
    <w:p w:rsidR="008547CB" w:rsidRDefault="008547CB" w:rsidP="008547CB">
      <w:r>
        <w:t>Wykonawca wnosi o zmianę zapisu w taki sposób, że w przywołanym przypadku Zamawiający uprawniony będzie do dochodzenia odszkodowania na zasadach ogólnych.</w:t>
      </w:r>
    </w:p>
    <w:p w:rsidR="003F6B76" w:rsidRDefault="003F6B76" w:rsidP="008547CB"/>
    <w:p w:rsidR="00741419" w:rsidRPr="003F6B76" w:rsidRDefault="008547CB" w:rsidP="003F6B76">
      <w:r w:rsidRPr="003F6B76">
        <w:t xml:space="preserve">Odp. </w:t>
      </w:r>
      <w:r w:rsidR="003F6B76" w:rsidRPr="003F6B76">
        <w:t>Zapis pozostaje bez zmian.</w:t>
      </w:r>
    </w:p>
    <w:p w:rsidR="00741419" w:rsidRPr="006A34EF" w:rsidRDefault="00741419" w:rsidP="008547CB">
      <w:pPr>
        <w:rPr>
          <w:color w:val="FF0000"/>
        </w:rPr>
      </w:pPr>
    </w:p>
    <w:p w:rsidR="008547CB" w:rsidRDefault="008547CB" w:rsidP="008547CB">
      <w:r>
        <w:t>14.          Klauzula 4.30</w:t>
      </w:r>
    </w:p>
    <w:p w:rsidR="008547CB" w:rsidRDefault="008547CB" w:rsidP="008547CB">
      <w:r>
        <w:t>Wykonawca prosi o doprecyzowanie, że przeniesienie praw autorskich będzie miało miejsce w momencie zapłaty Wykonawcy wynagrodzenia lub odpowiedniej jego części.</w:t>
      </w:r>
    </w:p>
    <w:p w:rsidR="003F6B76" w:rsidRDefault="003F6B76" w:rsidP="008547CB"/>
    <w:p w:rsidR="008547CB" w:rsidRPr="003F6B76" w:rsidRDefault="008547CB" w:rsidP="008547CB">
      <w:r w:rsidRPr="003F6B76">
        <w:t xml:space="preserve">Odp. </w:t>
      </w:r>
      <w:r w:rsidR="006A34EF" w:rsidRPr="003F6B76">
        <w:t>Zamawiający dodaje na końcu klauzuli zapis „Przeniesienie praw autorskich, o który</w:t>
      </w:r>
      <w:r w:rsidR="00691061" w:rsidRPr="003F6B76">
        <w:t>ch</w:t>
      </w:r>
      <w:r w:rsidR="006A34EF" w:rsidRPr="003F6B76">
        <w:t xml:space="preserve"> mowa powyżej następuje w momencie zapłaty Wykonawcy wynagrodzenia lub odpowiedniej jego części.”</w:t>
      </w:r>
    </w:p>
    <w:p w:rsidR="008547CB" w:rsidRDefault="008547CB" w:rsidP="008547CB"/>
    <w:p w:rsidR="008547CB" w:rsidRDefault="008547CB" w:rsidP="008547CB">
      <w:r>
        <w:t>15.          Klauzula 8.1</w:t>
      </w:r>
    </w:p>
    <w:p w:rsidR="008547CB" w:rsidRDefault="008547CB" w:rsidP="008547CB">
      <w:pPr>
        <w:rPr>
          <w:i/>
          <w:iCs/>
        </w:rPr>
      </w:pPr>
      <w:r>
        <w:rPr>
          <w:i/>
          <w:iCs/>
        </w:rPr>
        <w:t xml:space="preserve">W terminie co najmniej 7 dni poprzedzających rozpoczęcie wykonywania Robót Wykonawca przedstawi Zamawiającemu listę wszystkich pozwoleń wymaganych do rozpoczęcia, wykonania i ukończenia Robót na podstawie programu Robót przedkładanego zgodnie z klauzulą 8.3 [Program]. W uzgodnieniu z władzami lokalnymi i zarządcami urządzeń użytku publicznego Wykonawca sporządzi i przekaże Inżynierowi program przedkładania w pełni udokumentowanych wniosków o udzielenie pozwoleń na wykonanie różnych części Robót. </w:t>
      </w:r>
    </w:p>
    <w:p w:rsidR="008547CB" w:rsidRDefault="008547CB" w:rsidP="008547CB">
      <w:pPr>
        <w:rPr>
          <w:i/>
          <w:iCs/>
        </w:rPr>
      </w:pPr>
      <w:r>
        <w:rPr>
          <w:i/>
          <w:iCs/>
        </w:rPr>
        <w:t>Jeśli Wykonawca nie dotrzyma postanowień tego programu, koszty wszelkich opóźnień poniesione przez Zamawiającego w związku z opóźnieniem w wydaniu jakiegokolwiek pozwolenia niezbędnego do przeprowadzenia Robót, zostaną poniesione przez Wykonawcę.</w:t>
      </w:r>
    </w:p>
    <w:p w:rsidR="008547CB" w:rsidRDefault="008547CB" w:rsidP="008547CB"/>
    <w:p w:rsidR="008547CB" w:rsidRDefault="008547CB" w:rsidP="008547CB">
      <w:r>
        <w:t>Wykonawca wnosi o potwierdzenie, że nie będzie ponosił odpowiedzialności za opóźnienia powstałe z powodu działań lub zaniechań organów administracji publicznej.</w:t>
      </w:r>
    </w:p>
    <w:p w:rsidR="003F6B76" w:rsidRDefault="003F6B76" w:rsidP="00F07519"/>
    <w:p w:rsidR="00F07519" w:rsidRPr="003F6B76" w:rsidRDefault="008547CB" w:rsidP="00F07519">
      <w:r w:rsidRPr="003F6B76">
        <w:t xml:space="preserve">Odp. </w:t>
      </w:r>
      <w:r w:rsidR="003F6B76" w:rsidRPr="003F6B76">
        <w:t>Z</w:t>
      </w:r>
      <w:r w:rsidR="00720572" w:rsidRPr="003F6B76">
        <w:t>akres odpowiedzialności i prawa wykonawcy w tym zakresie określa wzór umowy, w s</w:t>
      </w:r>
      <w:r w:rsidR="003F6B76" w:rsidRPr="003F6B76">
        <w:t>zczególności klauzula 8.4, 8.5 i 8.6 [Opóźnienie przez Władze].</w:t>
      </w:r>
    </w:p>
    <w:p w:rsidR="003F6B76" w:rsidRDefault="003F6B76" w:rsidP="00F07519"/>
    <w:p w:rsidR="008547CB" w:rsidRDefault="008547CB" w:rsidP="008547CB">
      <w:r>
        <w:t>16.          Klauzula 8.3</w:t>
      </w:r>
    </w:p>
    <w:p w:rsidR="008547CB" w:rsidRDefault="008547CB" w:rsidP="008547CB">
      <w:pPr>
        <w:rPr>
          <w:i/>
          <w:iCs/>
        </w:rPr>
      </w:pPr>
      <w:r>
        <w:rPr>
          <w:i/>
          <w:iCs/>
        </w:rPr>
        <w:t>Podczas przygotowywania Programu należy w pełni uwzględnić niekorzystne warunki atmosferyczne, mogące ograniczyć postęp Robót, które mogą wystąpić w okresie zimowym. Harmonogram przewidujący ograniczenie tempa prac lub ich czasowe wstrzymanie powinien być zaaprobowany przez Inżyniera, jednakże zgoda taka nie zwalnia Wykonawcy od zobowiązania zakończenia Robót w Czasie na Wykonanie.</w:t>
      </w:r>
    </w:p>
    <w:p w:rsidR="008547CB" w:rsidRDefault="008547CB" w:rsidP="008547CB"/>
    <w:p w:rsidR="008547CB" w:rsidRDefault="008547CB" w:rsidP="008547CB">
      <w:r>
        <w:t>Wykonawca wnosi o dopisanie, że z Czas na Ukończenie nie obejmuje okresu zimowego, od 15 grudnia do 15 marca.</w:t>
      </w:r>
    </w:p>
    <w:p w:rsidR="008547CB" w:rsidRDefault="008547CB" w:rsidP="008547CB">
      <w:r>
        <w:t>Wykonawca wnosi o potwierdzenie, że niekorzystne warunki atmosferyczne uniemożliwiające realizację robót, również te występujące od 16 marca do 14 grudnia, będą stanowić podstawę do wydłużenia termin u realizacji robót.</w:t>
      </w:r>
    </w:p>
    <w:p w:rsidR="003F6B76" w:rsidRDefault="003F6B76" w:rsidP="008547CB"/>
    <w:p w:rsidR="008547CB" w:rsidRPr="003F6B76" w:rsidRDefault="008547CB" w:rsidP="008547CB">
      <w:r w:rsidRPr="003F6B76">
        <w:t xml:space="preserve">Odp. </w:t>
      </w:r>
      <w:r w:rsidR="003F6B76" w:rsidRPr="003F6B76">
        <w:t>Zapis pozostaje bez zmian</w:t>
      </w:r>
      <w:r w:rsidR="00504766" w:rsidRPr="003F6B76">
        <w:t>. Przypadki przesunięcia terminu realizacji (w tym również ze względu na warunki atmosferyczne) określone zostały w Klauzulach końcowych</w:t>
      </w:r>
      <w:r w:rsidR="001A1FF1" w:rsidRPr="003F6B76">
        <w:t>, typowe warunki występujące w naszej szerokości geograficznej powinien przewidzieć i uwzględnić.</w:t>
      </w:r>
    </w:p>
    <w:p w:rsidR="008547CB" w:rsidRDefault="008547CB" w:rsidP="008547CB"/>
    <w:p w:rsidR="008547CB" w:rsidRDefault="008547CB" w:rsidP="008547CB">
      <w:r>
        <w:t xml:space="preserve">17.          </w:t>
      </w:r>
      <w:r w:rsidRPr="0013221C">
        <w:t>Klauzula 8.4.</w:t>
      </w:r>
    </w:p>
    <w:p w:rsidR="008547CB" w:rsidRDefault="008547CB" w:rsidP="008547CB">
      <w:pPr>
        <w:rPr>
          <w:i/>
          <w:iCs/>
        </w:rPr>
      </w:pPr>
      <w:r>
        <w:rPr>
          <w:i/>
          <w:iCs/>
        </w:rPr>
        <w:t xml:space="preserve">Postanowienia podpunktu (b) i (e) nie będą miały zastosowania, jeżeli do opóźnienia, utrudnienia lub przeszkód spowodowanych przez lub dających się przypisać Zamawiającemu, Personelowi Zamawiającego lub innemu wykonawcy, zatrudnionemu przez Zamawiającego na Terenie Budowy, w jakikolwiek sposób przyczyni się Wykonawca, jego podwykonawcy lub Personel Wykonawcy. </w:t>
      </w:r>
    </w:p>
    <w:p w:rsidR="008547CB" w:rsidRDefault="008547CB" w:rsidP="008547CB"/>
    <w:p w:rsidR="008547CB" w:rsidRDefault="008547CB" w:rsidP="008547CB">
      <w:r>
        <w:t>Wykonawca wnosi o wykreślenie zapisu, który pozwala Zamawiającemu na odmowę przedłużenia czasu na ukończenia jeśli Wykonawca choćby w marginalnym i nieistotnym stopniu będzie mieć udział w zaniechaniu Zamawiającego.</w:t>
      </w:r>
    </w:p>
    <w:p w:rsidR="008547CB" w:rsidRDefault="008547CB" w:rsidP="008547CB">
      <w:pPr>
        <w:rPr>
          <w:color w:val="002060"/>
        </w:rPr>
      </w:pPr>
    </w:p>
    <w:p w:rsidR="003F6B76" w:rsidRDefault="003F6B76" w:rsidP="008547CB">
      <w:pPr>
        <w:rPr>
          <w:color w:val="002060"/>
        </w:rPr>
      </w:pPr>
      <w:r w:rsidRPr="003F6B76">
        <w:t>Odp. Zapis pozostaje bez zmian.</w:t>
      </w:r>
    </w:p>
    <w:p w:rsidR="003F6B76" w:rsidRDefault="003F6B76" w:rsidP="008547CB"/>
    <w:p w:rsidR="008547CB" w:rsidRDefault="008547CB" w:rsidP="008547CB">
      <w:r w:rsidRPr="0013221C">
        <w:t>18.          Klauzula 8.7. Kary umowne za opóźnienie</w:t>
      </w:r>
      <w:r>
        <w:t xml:space="preserve"> – Wykonawca wnosi o zastrzeżenie kar za zwłokę.</w:t>
      </w:r>
    </w:p>
    <w:p w:rsidR="00EF49E5" w:rsidRDefault="00EF49E5" w:rsidP="008547CB"/>
    <w:p w:rsidR="00741419" w:rsidRPr="0013221C" w:rsidRDefault="008547CB" w:rsidP="00EF49E5">
      <w:pPr>
        <w:rPr>
          <w:color w:val="FF0000"/>
        </w:rPr>
      </w:pPr>
      <w:r w:rsidRPr="00EF49E5">
        <w:t xml:space="preserve">Odp. </w:t>
      </w:r>
      <w:r w:rsidR="00EF49E5" w:rsidRPr="00EF49E5">
        <w:t xml:space="preserve"> Zapisy pozostają bez zmian. Wykonawca dysponuje instytucją roszenia</w:t>
      </w:r>
      <w:r w:rsidR="00EF49E5">
        <w:t xml:space="preserve"> na wypadek zaistnienia okoliczności niezależnych od niego a mogących powodować opóźnienie</w:t>
      </w:r>
      <w:r w:rsidR="00EF49E5">
        <w:rPr>
          <w:color w:val="002060"/>
        </w:rPr>
        <w:t>.</w:t>
      </w:r>
    </w:p>
    <w:p w:rsidR="008547CB" w:rsidRDefault="008547CB" w:rsidP="008547CB"/>
    <w:p w:rsidR="008547CB" w:rsidRDefault="008547CB" w:rsidP="008547CB">
      <w:r>
        <w:t>19.          Klauzula 10.5</w:t>
      </w:r>
    </w:p>
    <w:p w:rsidR="008547CB" w:rsidRDefault="008547CB" w:rsidP="008547CB">
      <w:pPr>
        <w:rPr>
          <w:i/>
          <w:iCs/>
        </w:rPr>
      </w:pPr>
      <w:r>
        <w:rPr>
          <w:i/>
          <w:iCs/>
        </w:rPr>
        <w:t>Zamawiający ma prawo do użytkowania czasowego każdej części Robót przed wystawieniem Świadectwa Przejęcia dla tej części Robót.</w:t>
      </w:r>
    </w:p>
    <w:p w:rsidR="008547CB" w:rsidRDefault="008547CB" w:rsidP="008547CB">
      <w:pPr>
        <w:rPr>
          <w:i/>
          <w:iCs/>
        </w:rPr>
      </w:pPr>
      <w:r>
        <w:rPr>
          <w:i/>
          <w:iCs/>
        </w:rPr>
        <w:t>Czasowe użytkowanie nie upoważnia Wykonawcy do wnioskowania o wystawienie Świadectwa Przejęcia dla tej części Robót oraz nie uprawnia Wykonawcy do dodatkowej zapłaty na mocy klauzuli 20.1 [Roszczenia Wykonawcy].</w:t>
      </w:r>
    </w:p>
    <w:p w:rsidR="008547CB" w:rsidRDefault="008547CB" w:rsidP="008547CB"/>
    <w:p w:rsidR="008547CB" w:rsidRDefault="008547CB" w:rsidP="008547CB">
      <w:r>
        <w:t>Wykonawca wnosi o zmianę zapisu w taki sposób, aby warunkiem użytkowania danej części robót było wystawienie Świadectwa Przejęcia,</w:t>
      </w:r>
    </w:p>
    <w:p w:rsidR="008547CB" w:rsidRDefault="008547CB" w:rsidP="008547CB">
      <w:r>
        <w:t>Wykonawca wnosi o dopisanie, że nie będzie ponosił odpowiedzialności za szkody powstałe w Robotach z przyczyn nieleżących po stronie Wykonawcy w trakcie ich Czasowego Użytkowania.</w:t>
      </w:r>
    </w:p>
    <w:p w:rsidR="00EF49E5" w:rsidRDefault="00EF49E5" w:rsidP="008547CB"/>
    <w:p w:rsidR="008547CB" w:rsidRDefault="00EF49E5" w:rsidP="008547CB">
      <w:r w:rsidRPr="00EF49E5">
        <w:t>Odp.  Zapisy pozostają bez zmian.</w:t>
      </w:r>
    </w:p>
    <w:p w:rsidR="00EF49E5" w:rsidRDefault="00EF49E5" w:rsidP="008547CB"/>
    <w:p w:rsidR="008547CB" w:rsidRDefault="008547CB" w:rsidP="008547CB">
      <w:r>
        <w:t xml:space="preserve">20.          </w:t>
      </w:r>
      <w:r w:rsidRPr="00095448">
        <w:t>Klauzula 11.10 Niewypełnione zobowiązania – Wykonawca wnosi o zastrzeżenie kar za zwłokę.</w:t>
      </w:r>
    </w:p>
    <w:p w:rsidR="008547CB" w:rsidRDefault="008547CB" w:rsidP="008547CB"/>
    <w:p w:rsidR="00EF49E5" w:rsidRPr="0013221C" w:rsidRDefault="00EF49E5" w:rsidP="00EF49E5">
      <w:pPr>
        <w:rPr>
          <w:color w:val="FF0000"/>
        </w:rPr>
      </w:pPr>
      <w:r w:rsidRPr="00EF49E5">
        <w:t>Odp.  Zapisy pozostają bez zmian. Wykonawca dysponuje instytucją roszenia</w:t>
      </w:r>
      <w:r>
        <w:t xml:space="preserve"> na wypadek zaistnienia okoliczności niezależnych od niego a mogących powodować opóźnienie</w:t>
      </w:r>
      <w:r>
        <w:rPr>
          <w:color w:val="002060"/>
        </w:rPr>
        <w:t>.</w:t>
      </w:r>
    </w:p>
    <w:p w:rsidR="00EF49E5" w:rsidRDefault="00EF49E5" w:rsidP="008547CB"/>
    <w:p w:rsidR="00EF49E5" w:rsidRDefault="00EF49E5" w:rsidP="008547CB"/>
    <w:p w:rsidR="008547CB" w:rsidRDefault="008547CB" w:rsidP="008547CB">
      <w:r>
        <w:t xml:space="preserve">21.          Klauzula 14.6 oraz 14.7 </w:t>
      </w:r>
    </w:p>
    <w:p w:rsidR="008547CB" w:rsidRPr="0014202A" w:rsidRDefault="008547CB" w:rsidP="008547CB">
      <w:pPr>
        <w:rPr>
          <w:i/>
          <w:iCs/>
        </w:rPr>
      </w:pPr>
      <w:r w:rsidRPr="0014202A">
        <w:rPr>
          <w:i/>
          <w:iCs/>
        </w:rPr>
        <w:t xml:space="preserve">Zamawiający zapłaci Wykonawcy kwoty poświadczone w każdym Przejściowym Świadectwie Płatności i Ostatecznym Świadectwie Płatności w ciągu 60 dni od daty otrzymania kompletu dokumentów uzasadniających żądanie zapłaty, w tym prawidłowo wystawionej faktury VAT Wykonawcy.                                                                   </w:t>
      </w:r>
    </w:p>
    <w:p w:rsidR="008547CB" w:rsidRDefault="008547CB" w:rsidP="008547CB"/>
    <w:p w:rsidR="008547CB" w:rsidRDefault="008547CB" w:rsidP="008547CB">
      <w:r>
        <w:t>Wykonawca wnosi o skrócenie terminu płatności do 30 dni. Wydłużenie terminu płatności spowoduje wzrost kosztów finansowania oraz podwyższenie cen ofertowych wykonawców, a co za tym idzie, zmniejszenie konkurencyjności ofert. Z tych samych przyczyn Wykonawca wnioskuje o skrócenie terminu wydania Przejściowego Świadectwa Płatności z 28 do 14 dni.</w:t>
      </w:r>
    </w:p>
    <w:p w:rsidR="00EF49E5" w:rsidRDefault="00EF49E5" w:rsidP="008547CB"/>
    <w:p w:rsidR="000842C6" w:rsidRDefault="00EF49E5" w:rsidP="008547CB">
      <w:r w:rsidRPr="00EF49E5">
        <w:t>Odp.  Zapisy pozostają bez zmian.</w:t>
      </w:r>
    </w:p>
    <w:p w:rsidR="00EF49E5" w:rsidRDefault="00EF49E5" w:rsidP="008547CB"/>
    <w:p w:rsidR="008547CB" w:rsidRDefault="008547CB" w:rsidP="008547CB">
      <w:pPr>
        <w:rPr>
          <w:color w:val="002060"/>
        </w:rPr>
      </w:pPr>
      <w:r>
        <w:t>22.          Klauzula 16.2</w:t>
      </w:r>
    </w:p>
    <w:p w:rsidR="008547CB" w:rsidRDefault="008547CB" w:rsidP="008547CB">
      <w:r>
        <w:t>Wykonawca wnosi, aby był uprawniony do odstąpienia od Kontraktu również w przypadku, gdy Zamawiający bez uzasadnienia nie przystępuje do odbioru robót lub nie wydaje protokołu odbioru (/świadectwa płatności).</w:t>
      </w:r>
    </w:p>
    <w:p w:rsidR="00EF49E5" w:rsidRDefault="00EF49E5" w:rsidP="008547CB"/>
    <w:p w:rsidR="0014202A" w:rsidRDefault="00EF49E5" w:rsidP="008547CB">
      <w:pPr>
        <w:rPr>
          <w:color w:val="FF0000"/>
        </w:rPr>
      </w:pPr>
      <w:r w:rsidRPr="00EF49E5">
        <w:t xml:space="preserve">Odp.  Zapisy pozostają bez zmian. Kwestię </w:t>
      </w:r>
      <w:r w:rsidR="0014202A" w:rsidRPr="00EF49E5">
        <w:t>reguluje procedura roszczenia</w:t>
      </w:r>
      <w:r>
        <w:t xml:space="preserve"> wykonawcy</w:t>
      </w:r>
      <w:r w:rsidRPr="00EF49E5">
        <w:t>.</w:t>
      </w:r>
    </w:p>
    <w:p w:rsidR="0014202A" w:rsidRDefault="0014202A" w:rsidP="008547CB">
      <w:pPr>
        <w:rPr>
          <w:color w:val="FF0000"/>
        </w:rPr>
      </w:pPr>
    </w:p>
    <w:p w:rsidR="008547CB" w:rsidRDefault="008547CB" w:rsidP="008547CB"/>
    <w:p w:rsidR="008547CB" w:rsidRDefault="008547CB" w:rsidP="008547CB">
      <w:r>
        <w:lastRenderedPageBreak/>
        <w:t xml:space="preserve">23.          Klauzula 16.5 </w:t>
      </w:r>
    </w:p>
    <w:p w:rsidR="008547CB" w:rsidRDefault="008547CB" w:rsidP="008547CB">
      <w:r>
        <w:t>Wykonawca wnosi o zastrzeżenie analogiczne postanowienia na rzecz Wykonawcy.</w:t>
      </w:r>
    </w:p>
    <w:p w:rsidR="008547CB" w:rsidRDefault="008547CB" w:rsidP="008547CB">
      <w:pPr>
        <w:rPr>
          <w:color w:val="002060"/>
        </w:rPr>
      </w:pPr>
    </w:p>
    <w:p w:rsidR="00EF49E5" w:rsidRDefault="00EF49E5" w:rsidP="00EF49E5">
      <w:pPr>
        <w:rPr>
          <w:color w:val="FF0000"/>
        </w:rPr>
      </w:pPr>
      <w:r w:rsidRPr="00EF49E5">
        <w:t>Odp.  Zapisy pozostają bez zmian. Kwestię reguluje procedura roszczenia</w:t>
      </w:r>
      <w:r>
        <w:t xml:space="preserve"> wykonawcy</w:t>
      </w:r>
      <w:r w:rsidRPr="00EF49E5">
        <w:t>.</w:t>
      </w:r>
    </w:p>
    <w:p w:rsidR="00EF49E5" w:rsidRDefault="00EF49E5" w:rsidP="008547CB"/>
    <w:p w:rsidR="008547CB" w:rsidRDefault="008547CB" w:rsidP="008547CB">
      <w:r>
        <w:t>24.          Klauzula 22.1</w:t>
      </w:r>
    </w:p>
    <w:p w:rsidR="008547CB" w:rsidRDefault="008547CB" w:rsidP="008547CB">
      <w:pPr>
        <w:rPr>
          <w:i/>
          <w:iCs/>
        </w:rPr>
      </w:pPr>
      <w:r>
        <w:rPr>
          <w:i/>
          <w:iCs/>
        </w:rPr>
        <w:t>W przypadku zidentyfikowania konfliktu interesów lub podejrzenia konfliktu interesów na jakimkolwiek etapie wykonywania Kontraktu, wówczas zastosowanie będzie miała klauzula 15 [Odstąpienie od Kontraktu przez Zamawiającego].</w:t>
      </w:r>
    </w:p>
    <w:p w:rsidR="008547CB" w:rsidRDefault="008547CB" w:rsidP="008547CB">
      <w:pPr>
        <w:rPr>
          <w:i/>
          <w:iCs/>
        </w:rPr>
      </w:pPr>
      <w:r>
        <w:rPr>
          <w:i/>
          <w:iCs/>
        </w:rPr>
        <w:t>W szczególności konflikt ma miejsce wówczas, gdy człowiek (lub organizacja) zobowiązany jest - w wyniku zewnętrznych okoliczności lub własnych działań - do podwójnej lojalności, czyli znajduje się w sytuacji konfliktu interesów wtedy, gdy działając na własną korzyść lub korzyść pewnego podmiotu, wobec którego ma zobowiązania, działa jednocześnie wbrew interesowi innego podmiotu, wobec którego także powinien być lojalny.</w:t>
      </w:r>
    </w:p>
    <w:p w:rsidR="008547CB" w:rsidRDefault="008547CB" w:rsidP="008547CB"/>
    <w:p w:rsidR="008547CB" w:rsidRDefault="008547CB" w:rsidP="008547CB">
      <w:r>
        <w:t>Wykonawca wnosi o wykreślenie zapisu – Zamawiający będzie uprawniony do odstąpienia od umowy nawet, jeżeli konflikt interesów dotyczyć będzie osób całkowicie niezwiązanych z Wykonawcą i bez jego winy (np. gdy taki konflikt będzie mieć miejsce w szeregach Zamawiającego, Inżyniera, stron trzecich).</w:t>
      </w:r>
    </w:p>
    <w:p w:rsidR="00EF49E5" w:rsidRDefault="00EF49E5" w:rsidP="008547CB"/>
    <w:p w:rsidR="00EF49E5" w:rsidRDefault="00EF49E5" w:rsidP="00EF49E5">
      <w:pPr>
        <w:rPr>
          <w:color w:val="FF0000"/>
        </w:rPr>
      </w:pPr>
      <w:r w:rsidRPr="00EF49E5">
        <w:t xml:space="preserve">Odp.  Zapisy pozostają bez zmian. </w:t>
      </w:r>
      <w:r>
        <w:t>Nie przewiduje się konfliktu interesów po stronie Zamawiającego</w:t>
      </w:r>
      <w:r w:rsidRPr="00EF49E5">
        <w:t>.</w:t>
      </w:r>
    </w:p>
    <w:p w:rsidR="008547CB" w:rsidRDefault="008547CB" w:rsidP="008547CB"/>
    <w:p w:rsidR="008547CB" w:rsidRDefault="008547CB" w:rsidP="008547CB">
      <w:r>
        <w:t>25.          Klauzula 22:</w:t>
      </w:r>
    </w:p>
    <w:p w:rsidR="008547CB" w:rsidRDefault="008547CB" w:rsidP="008547CB">
      <w:r>
        <w:t>Wykonawca wnosi o dopuszczenie zmiany umowy w zakresie wynagrodzenia, terminu lub innych, w przypadku:</w:t>
      </w:r>
    </w:p>
    <w:p w:rsidR="008547CB" w:rsidRDefault="008547CB" w:rsidP="008547CB">
      <w:r>
        <w:t>1)            stwierdzenia wad lub usterek dokumentacji projektowej, uniemożliwiających prawidłową realizację zadania inwestycyjnego,</w:t>
      </w:r>
    </w:p>
    <w:p w:rsidR="008547CB" w:rsidRDefault="008547CB" w:rsidP="008547CB">
      <w:pPr>
        <w:ind w:left="705" w:hanging="705"/>
      </w:pPr>
      <w:r>
        <w:t>2)            wystąpienia warunków atmosferycznych uniemożliwiających wykonanie umowy w całości lub części (przy czym Wykonawca wnosi, aby wydłużenie terminu realizacji umowy nastąpiło o ilość dni, w których wystąpiły niekorzystne warunki pogodowe. Obowiązek wykazania, że dane warunki pogodowe uniemożliwiają wykonanie przedmiotu umowy z przyczyn technologicznych, leży po stronie Wykonawcy).</w:t>
      </w:r>
    </w:p>
    <w:p w:rsidR="008547CB" w:rsidRDefault="008547CB" w:rsidP="008547CB">
      <w:r>
        <w:t>3)            zlecenia robót zamiennych,</w:t>
      </w:r>
    </w:p>
    <w:p w:rsidR="008547CB" w:rsidRDefault="008547CB" w:rsidP="008547CB">
      <w:pPr>
        <w:ind w:left="705" w:hanging="705"/>
      </w:pPr>
      <w:r>
        <w:t>4)            wystąpienia odmiennych od przyjętych w dokumentacji projektowej warunków terenowych, w szczególności niezinwentaryzowanych podziemnych sieci, instalacji, urządzeń lub obiektów budowlanych,</w:t>
      </w:r>
    </w:p>
    <w:p w:rsidR="008547CB" w:rsidRDefault="008547CB" w:rsidP="008547CB">
      <w:pPr>
        <w:ind w:left="705" w:hanging="705"/>
      </w:pPr>
      <w:r>
        <w:t>5)            wystąpienia odmiennych od przyjętych w dokumentacji projektowej warunków geologicznych, geotechnicznych, lub też warunków archeologicznych skutkujących niemożliwością zrealizowania przedmiotu umowy przy dotychczasowych założeniach technologicznych,</w:t>
      </w:r>
    </w:p>
    <w:p w:rsidR="008547CB" w:rsidRDefault="008547CB" w:rsidP="008547CB">
      <w:r>
        <w:t>6)            wstrzymania robót lub przerwy w realizacji robót, które nastąpiły na polecenie Zamawiającego lub z przyczyn leżących po stronie Zamawiającego,</w:t>
      </w:r>
    </w:p>
    <w:p w:rsidR="008547CB" w:rsidRDefault="008547CB" w:rsidP="008547CB">
      <w:r>
        <w:t>7)            działania lub zaniechania organów władzy administracyjnej.</w:t>
      </w:r>
    </w:p>
    <w:p w:rsidR="008547CB" w:rsidRDefault="008547CB" w:rsidP="008547CB">
      <w:pPr>
        <w:rPr>
          <w:color w:val="002060"/>
        </w:rPr>
      </w:pPr>
    </w:p>
    <w:p w:rsidR="00EF49E5" w:rsidRDefault="00EF49E5" w:rsidP="00EF49E5">
      <w:pPr>
        <w:rPr>
          <w:color w:val="FF0000"/>
        </w:rPr>
      </w:pPr>
      <w:r w:rsidRPr="00EF49E5">
        <w:t xml:space="preserve">Odp.  Zapisy pozostają bez zmian. </w:t>
      </w:r>
      <w:r>
        <w:t>Powyższe kwestie</w:t>
      </w:r>
      <w:r w:rsidRPr="00EF49E5">
        <w:t xml:space="preserve"> reguluje procedura roszczenia</w:t>
      </w:r>
      <w:r>
        <w:t xml:space="preserve"> wykonawcy</w:t>
      </w:r>
      <w:r w:rsidRPr="00EF49E5">
        <w:t>.</w:t>
      </w:r>
    </w:p>
    <w:p w:rsidR="00EF49E5" w:rsidRDefault="00EF49E5" w:rsidP="008547CB"/>
    <w:p w:rsidR="008547CB" w:rsidRDefault="008547CB" w:rsidP="00EF49E5">
      <w:r>
        <w:t>26. Wykonawca zwraca się o ustalenie limitu kar umownych z wszystkich tytułów na 20% Kwoty Kontraktowej. Wykonawca podkreśla, że kary umowne nie stanowią odszkodowania Zamawiającego, lecz są wyłącznie środkiem dyscyplinującym, który ma zapewnić należyte i terminowe wykonanie Umowy.</w:t>
      </w:r>
    </w:p>
    <w:p w:rsidR="00796D5D" w:rsidRDefault="00796D5D">
      <w:pPr>
        <w:rPr>
          <w:color w:val="FF0000"/>
        </w:rPr>
      </w:pPr>
    </w:p>
    <w:p w:rsidR="00EF49E5" w:rsidRPr="00D16A67" w:rsidRDefault="00EF49E5">
      <w:r w:rsidRPr="00D16A67">
        <w:t xml:space="preserve">Odp. Zamawiający ustala limit kar umownych na 20% Kwoty Kontraktowej, z wyłączeniem przypadku o którym mowa w Klauzuli 4.29 akapit czwarty, tj. limit nie dotyczy kary należnej </w:t>
      </w:r>
      <w:r w:rsidR="00D16A67" w:rsidRPr="00D16A67">
        <w:t>z tytułu konieczności zwrotu przez Zamawiającego otrzymanych środków z funduszy zewnętrznych.</w:t>
      </w:r>
    </w:p>
    <w:p w:rsidR="00EF49E5" w:rsidRDefault="00EF49E5">
      <w:pPr>
        <w:rPr>
          <w:color w:val="FF0000"/>
        </w:rPr>
      </w:pPr>
    </w:p>
    <w:p w:rsidR="00796D5D" w:rsidRDefault="00796D5D">
      <w:pPr>
        <w:rPr>
          <w:color w:val="FF0000"/>
        </w:rPr>
      </w:pPr>
    </w:p>
    <w:p w:rsidR="00796D5D" w:rsidRPr="00796D5D" w:rsidRDefault="00EF49E5">
      <w:r w:rsidRPr="00796D5D">
        <w:t xml:space="preserve">ODPOWIEDZI </w:t>
      </w:r>
      <w:r w:rsidR="00796D5D" w:rsidRPr="00796D5D">
        <w:t>do pytań z 27.06.2018</w:t>
      </w:r>
    </w:p>
    <w:p w:rsidR="00796D5D" w:rsidRDefault="00796D5D">
      <w:pPr>
        <w:rPr>
          <w:color w:val="FF0000"/>
        </w:rPr>
      </w:pPr>
    </w:p>
    <w:p w:rsidR="00796D5D" w:rsidRPr="00796D5D" w:rsidRDefault="00796D5D" w:rsidP="00796D5D">
      <w:pPr>
        <w:numPr>
          <w:ilvl w:val="0"/>
          <w:numId w:val="6"/>
        </w:numPr>
        <w:rPr>
          <w:rFonts w:eastAsia="Times New Roman"/>
        </w:rPr>
      </w:pPr>
      <w:r w:rsidRPr="00796D5D">
        <w:rPr>
          <w:rFonts w:eastAsia="Times New Roman"/>
        </w:rPr>
        <w:t xml:space="preserve">Dokumentacja projektowa zakłada wykonanie podbudowy pomocniczej z mieszanek niezwiązanych C90/3 (KŁSM 0/31,5) grubość warstwy 20 cm lub destruktu betonowego pochodzącego z rozbiórki </w:t>
      </w:r>
      <w:proofErr w:type="spellStart"/>
      <w:r w:rsidRPr="00796D5D">
        <w:rPr>
          <w:rFonts w:eastAsia="Times New Roman"/>
        </w:rPr>
        <w:t>istn</w:t>
      </w:r>
      <w:proofErr w:type="spellEnd"/>
      <w:r w:rsidRPr="00796D5D">
        <w:rPr>
          <w:rFonts w:eastAsia="Times New Roman"/>
        </w:rPr>
        <w:t>. nawierzchni drogowych.</w:t>
      </w:r>
    </w:p>
    <w:p w:rsidR="00796D5D" w:rsidRPr="00796D5D" w:rsidRDefault="00796D5D" w:rsidP="00796D5D">
      <w:pPr>
        <w:ind w:left="720"/>
      </w:pPr>
      <w:r w:rsidRPr="00796D5D">
        <w:t xml:space="preserve">Układanie mieszanki bitumicznej bezpośrednio na destrukt betonowy jest technicznie oraz technologicznie złym rozwiązaniem. </w:t>
      </w:r>
    </w:p>
    <w:p w:rsidR="00796D5D" w:rsidRPr="00796D5D" w:rsidRDefault="00796D5D" w:rsidP="00796D5D">
      <w:pPr>
        <w:ind w:left="720"/>
      </w:pPr>
      <w:r w:rsidRPr="00796D5D">
        <w:t xml:space="preserve">Duże zapylenie destruktu betonowego prowadzi do braku </w:t>
      </w:r>
      <w:proofErr w:type="spellStart"/>
      <w:r w:rsidRPr="00796D5D">
        <w:t>szczepności</w:t>
      </w:r>
      <w:proofErr w:type="spellEnd"/>
      <w:r w:rsidRPr="00796D5D">
        <w:t xml:space="preserve"> </w:t>
      </w:r>
      <w:proofErr w:type="spellStart"/>
      <w:r w:rsidRPr="00796D5D">
        <w:t>międzywarstwowej</w:t>
      </w:r>
      <w:proofErr w:type="spellEnd"/>
      <w:r w:rsidRPr="00796D5D">
        <w:t xml:space="preserve"> i skutkuje osłabieniem nośności całej konstrukcji. </w:t>
      </w:r>
    </w:p>
    <w:p w:rsidR="00796D5D" w:rsidRPr="00796D5D" w:rsidRDefault="00796D5D" w:rsidP="00796D5D">
      <w:r w:rsidRPr="00796D5D">
        <w:t>Wykonawca wnosi o wprowadzenie obowiązku wykonania górnej warstwy podbudowy pomocniczej gr. 5cm z mieszanek niezwiązanych C90/3 (KŁSM 0/31,5).</w:t>
      </w:r>
    </w:p>
    <w:p w:rsidR="00796D5D" w:rsidRPr="00796D5D" w:rsidRDefault="00796D5D" w:rsidP="00796D5D"/>
    <w:p w:rsidR="00796D5D" w:rsidRDefault="00EF49E5" w:rsidP="00796D5D">
      <w:r w:rsidRPr="00EF49E5">
        <w:t>Odp.</w:t>
      </w:r>
      <w:r w:rsidR="00796D5D" w:rsidRPr="00EF49E5">
        <w:t xml:space="preserve">  W wycenie robót należy uwzględnić wykonanie górnej warstwy podbudowy pomocniczej gr. 5 cm z mieszanek niezwiązanych C90/3 0/31,5.</w:t>
      </w:r>
    </w:p>
    <w:p w:rsidR="00D16A67" w:rsidRDefault="00D16A67" w:rsidP="00796D5D"/>
    <w:p w:rsidR="00D16A67" w:rsidRDefault="00D16A67" w:rsidP="00796D5D"/>
    <w:p w:rsidR="00D16A67" w:rsidRDefault="00A254C9" w:rsidP="00A254C9">
      <w:pPr>
        <w:pStyle w:val="Akapitzlist"/>
        <w:numPr>
          <w:ilvl w:val="0"/>
          <w:numId w:val="8"/>
        </w:numPr>
        <w:tabs>
          <w:tab w:val="left" w:pos="-2127"/>
        </w:tabs>
        <w:ind w:left="284" w:hanging="284"/>
      </w:pPr>
      <w:r>
        <w:t>Na podstawie art. 38 ust. 4 pzp zmienia treść załącznika nr 9 do SIWZ – OPZ w następującym zakresie:</w:t>
      </w:r>
    </w:p>
    <w:p w:rsidR="00A254C9" w:rsidRDefault="00A254C9" w:rsidP="00A254C9">
      <w:pPr>
        <w:pStyle w:val="Akapitzlist"/>
        <w:ind w:left="567" w:hanging="567"/>
      </w:pPr>
      <w:r>
        <w:t xml:space="preserve">Zmiana na stronie 22, </w:t>
      </w:r>
    </w:p>
    <w:p w:rsidR="00A254C9" w:rsidRDefault="00A254C9" w:rsidP="00A254C9">
      <w:pPr>
        <w:pStyle w:val="Akapitzlist"/>
        <w:ind w:left="567" w:hanging="567"/>
      </w:pPr>
      <w:r>
        <w:t>JEST</w:t>
      </w:r>
    </w:p>
    <w:p w:rsidR="00A254C9" w:rsidRDefault="00A254C9" w:rsidP="00A254C9">
      <w:pPr>
        <w:pStyle w:val="Akapitzlist"/>
        <w:ind w:left="567" w:hanging="567"/>
      </w:pPr>
      <w:r>
        <w:t>„5.2 Dokumenty formalne</w:t>
      </w:r>
    </w:p>
    <w:p w:rsidR="00A254C9" w:rsidRDefault="00A254C9" w:rsidP="00A254C9">
      <w:pPr>
        <w:pStyle w:val="Akapitzlist"/>
        <w:ind w:left="567" w:hanging="567"/>
      </w:pPr>
      <w:r>
        <w:t>Roboty stanowiące przedmiot zamówienia nie wymagają uzyskania decyzji o pozwoleniu na budowę, przy czym Wykonawca jest zobowiązany do zapoznania się z poniższymi dokumentami i przestrzegania zobowiązań z nich wynikających.”</w:t>
      </w:r>
    </w:p>
    <w:p w:rsidR="00A254C9" w:rsidRDefault="00A254C9" w:rsidP="00A254C9">
      <w:pPr>
        <w:pStyle w:val="Akapitzlist"/>
        <w:ind w:left="567" w:hanging="567"/>
      </w:pPr>
    </w:p>
    <w:p w:rsidR="00A254C9" w:rsidRDefault="00A254C9" w:rsidP="00A254C9">
      <w:pPr>
        <w:pStyle w:val="Akapitzlist"/>
        <w:ind w:left="567" w:hanging="567"/>
      </w:pPr>
      <w:r>
        <w:t>POWINNO BYĆ</w:t>
      </w:r>
    </w:p>
    <w:p w:rsidR="00A254C9" w:rsidRDefault="00A254C9" w:rsidP="00A254C9">
      <w:pPr>
        <w:pStyle w:val="Akapitzlist"/>
        <w:ind w:left="567" w:hanging="567"/>
      </w:pPr>
      <w:r>
        <w:t>„5.2 Dokumenty formalne</w:t>
      </w:r>
    </w:p>
    <w:p w:rsidR="00A254C9" w:rsidRDefault="00A254C9" w:rsidP="00A254C9">
      <w:pPr>
        <w:pStyle w:val="Akapitzlist"/>
        <w:ind w:left="567" w:hanging="567"/>
      </w:pPr>
      <w:r>
        <w:t xml:space="preserve">Roboty stanowiące przedmiot zamówienia nie wymagają uzyskania decyzji o pozwoleniu na budowę (decyzja ta została </w:t>
      </w:r>
      <w:proofErr w:type="spellStart"/>
      <w:r>
        <w:t>juz</w:t>
      </w:r>
      <w:proofErr w:type="spellEnd"/>
      <w:r>
        <w:t xml:space="preserve"> pozyskana przez Zamawiającego). Wykonawca jest zobowiązany do zapoznania się z poniższymi dokumentami (decyzjami) i przestrzegania zobowiązań z nich wynikających.”</w:t>
      </w:r>
    </w:p>
    <w:p w:rsidR="00A254C9" w:rsidRDefault="00A254C9" w:rsidP="00A254C9">
      <w:pPr>
        <w:pStyle w:val="Akapitzlist"/>
        <w:ind w:left="1004"/>
      </w:pPr>
    </w:p>
    <w:p w:rsidR="00A254C9" w:rsidRDefault="00A254C9" w:rsidP="00A254C9">
      <w:pPr>
        <w:pStyle w:val="Akapitzlist"/>
        <w:numPr>
          <w:ilvl w:val="0"/>
          <w:numId w:val="8"/>
        </w:numPr>
        <w:ind w:left="284" w:hanging="284"/>
      </w:pPr>
      <w:r>
        <w:t xml:space="preserve">Na podstawie art. 38 ust. 6 pzp, w związku z udzielonymi odpowiedziami na zapytania wykonawców, Zamawiający przesuwa termin składania i otwarcia ofert z dnia 02.07.2018 r. na dzień </w:t>
      </w:r>
      <w:r w:rsidRPr="00A254C9">
        <w:rPr>
          <w:b/>
        </w:rPr>
        <w:t>05.07.2018 r.</w:t>
      </w:r>
      <w:r>
        <w:t xml:space="preserve">, miejsce i godziny pozostają bez zmian. </w:t>
      </w:r>
    </w:p>
    <w:p w:rsidR="00A254C9" w:rsidRDefault="00A254C9" w:rsidP="00A254C9"/>
    <w:p w:rsidR="00A254C9" w:rsidRDefault="00A254C9" w:rsidP="00A254C9"/>
    <w:p w:rsidR="00A254C9" w:rsidRDefault="00A254C9" w:rsidP="00A254C9"/>
    <w:p w:rsidR="00A254C9" w:rsidRDefault="00A254C9" w:rsidP="00A254C9"/>
    <w:p w:rsidR="00A254C9" w:rsidRDefault="00A254C9" w:rsidP="00A254C9"/>
    <w:p w:rsidR="00A254C9" w:rsidRDefault="00A254C9" w:rsidP="00A254C9"/>
    <w:p w:rsidR="00A254C9" w:rsidRDefault="00A254C9" w:rsidP="00A254C9">
      <w:r>
        <w:t>Beata Kmieć</w:t>
      </w:r>
    </w:p>
    <w:p w:rsidR="00A254C9" w:rsidRPr="00EF49E5" w:rsidRDefault="00A254C9" w:rsidP="00A254C9">
      <w:r>
        <w:t>Przewodnicząca komisji przetargowej</w:t>
      </w:r>
    </w:p>
    <w:sectPr w:rsidR="00A254C9" w:rsidRPr="00EF49E5" w:rsidSect="008E5904">
      <w:headerReference w:type="first" r:id="rId8"/>
      <w:footerReference w:type="first" r:id="rId9"/>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04" w:rsidRDefault="008E5904" w:rsidP="008E5904">
      <w:r>
        <w:separator/>
      </w:r>
    </w:p>
  </w:endnote>
  <w:endnote w:type="continuationSeparator" w:id="0">
    <w:p w:rsidR="008E5904" w:rsidRDefault="008E5904" w:rsidP="008E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font314">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00002FF" w:usb1="4000A47B"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5" w:type="dxa"/>
      <w:jc w:val="center"/>
      <w:tblLayout w:type="fixed"/>
      <w:tblCellMar>
        <w:top w:w="55" w:type="dxa"/>
        <w:left w:w="55" w:type="dxa"/>
        <w:bottom w:w="55" w:type="dxa"/>
        <w:right w:w="55" w:type="dxa"/>
      </w:tblCellMar>
      <w:tblLook w:val="0000" w:firstRow="0" w:lastRow="0" w:firstColumn="0" w:lastColumn="0" w:noHBand="0" w:noVBand="0"/>
    </w:tblPr>
    <w:tblGrid>
      <w:gridCol w:w="3545"/>
      <w:gridCol w:w="853"/>
      <w:gridCol w:w="1530"/>
      <w:gridCol w:w="4347"/>
    </w:tblGrid>
    <w:tr w:rsidR="008E5904" w:rsidTr="00A7073B">
      <w:trPr>
        <w:trHeight w:val="930"/>
        <w:jc w:val="center"/>
      </w:trPr>
      <w:tc>
        <w:tcPr>
          <w:tcW w:w="3545" w:type="dxa"/>
          <w:shd w:val="clear" w:color="auto" w:fill="auto"/>
        </w:tcPr>
        <w:p w:rsidR="008E5904" w:rsidRDefault="008E5904" w:rsidP="00A7073B">
          <w:pPr>
            <w:pStyle w:val="Stopka"/>
            <w:tabs>
              <w:tab w:val="clear" w:pos="4536"/>
              <w:tab w:val="clear" w:pos="9072"/>
            </w:tabs>
            <w:rPr>
              <w:rFonts w:ascii="Arial" w:hAnsi="Arial"/>
              <w:color w:val="808080"/>
              <w:sz w:val="16"/>
              <w:szCs w:val="16"/>
            </w:rPr>
          </w:pPr>
          <w:r>
            <w:rPr>
              <w:rFonts w:ascii="Arial" w:hAnsi="Arial"/>
              <w:color w:val="808080"/>
              <w:sz w:val="16"/>
              <w:szCs w:val="16"/>
            </w:rPr>
            <w:t>Toruńska Agencja Rozwoju Regionalnego S.A.</w:t>
          </w:r>
        </w:p>
        <w:p w:rsidR="008E5904" w:rsidRDefault="008E5904" w:rsidP="00A7073B">
          <w:pPr>
            <w:pStyle w:val="Stopka"/>
            <w:tabs>
              <w:tab w:val="clear" w:pos="4536"/>
              <w:tab w:val="clear" w:pos="9072"/>
            </w:tabs>
            <w:rPr>
              <w:rFonts w:ascii="Arial" w:hAnsi="Arial"/>
              <w:color w:val="808080"/>
              <w:sz w:val="16"/>
              <w:szCs w:val="16"/>
            </w:rPr>
          </w:pPr>
          <w:r>
            <w:rPr>
              <w:rFonts w:ascii="Arial" w:hAnsi="Arial"/>
              <w:color w:val="808080"/>
              <w:sz w:val="16"/>
              <w:szCs w:val="16"/>
            </w:rPr>
            <w:t>z siedzibą w Toruniu</w:t>
          </w:r>
        </w:p>
        <w:p w:rsidR="008E5904" w:rsidRDefault="008E5904" w:rsidP="00A7073B">
          <w:pPr>
            <w:pStyle w:val="Stopka"/>
            <w:tabs>
              <w:tab w:val="clear" w:pos="4536"/>
              <w:tab w:val="clear" w:pos="9072"/>
            </w:tabs>
            <w:rPr>
              <w:rFonts w:ascii="Arial" w:hAnsi="Arial"/>
              <w:color w:val="808080"/>
              <w:sz w:val="16"/>
              <w:szCs w:val="16"/>
            </w:rPr>
          </w:pPr>
          <w:r>
            <w:rPr>
              <w:rFonts w:ascii="Arial" w:hAnsi="Arial"/>
              <w:color w:val="808080"/>
              <w:sz w:val="16"/>
              <w:szCs w:val="16"/>
            </w:rPr>
            <w:t>ul. Włocławska 167, 87-100 Toruń</w:t>
          </w:r>
        </w:p>
        <w:p w:rsidR="008E5904" w:rsidRPr="008E5904" w:rsidRDefault="008E5904" w:rsidP="00A7073B">
          <w:pPr>
            <w:pStyle w:val="Stopka"/>
            <w:tabs>
              <w:tab w:val="clear" w:pos="4536"/>
              <w:tab w:val="clear" w:pos="9072"/>
            </w:tabs>
            <w:rPr>
              <w:rFonts w:ascii="Arial" w:hAnsi="Arial"/>
              <w:color w:val="808080"/>
              <w:sz w:val="16"/>
              <w:szCs w:val="16"/>
              <w:lang w:val="en-US"/>
            </w:rPr>
          </w:pPr>
          <w:r w:rsidRPr="008E5904">
            <w:rPr>
              <w:rFonts w:ascii="Arial" w:hAnsi="Arial"/>
              <w:color w:val="808080"/>
              <w:sz w:val="16"/>
              <w:szCs w:val="16"/>
              <w:lang w:val="en-US"/>
            </w:rPr>
            <w:t>e-mail: sekretariat@tarr.org.pl</w:t>
          </w:r>
        </w:p>
        <w:p w:rsidR="008E5904" w:rsidRDefault="008E5904" w:rsidP="00A7073B">
          <w:pPr>
            <w:pStyle w:val="Stopka"/>
            <w:tabs>
              <w:tab w:val="clear" w:pos="4536"/>
              <w:tab w:val="clear" w:pos="9072"/>
            </w:tabs>
            <w:rPr>
              <w:rFonts w:ascii="Arial" w:hAnsi="Arial"/>
              <w:color w:val="808080"/>
              <w:sz w:val="16"/>
              <w:szCs w:val="16"/>
            </w:rPr>
          </w:pPr>
          <w:r>
            <w:rPr>
              <w:rFonts w:ascii="Arial" w:hAnsi="Arial"/>
              <w:color w:val="808080"/>
              <w:sz w:val="16"/>
              <w:szCs w:val="16"/>
            </w:rPr>
            <w:t>tel.: 56 699 55 00, 699 55 03</w:t>
          </w:r>
        </w:p>
        <w:p w:rsidR="008E5904" w:rsidRPr="00C452DF" w:rsidRDefault="008E5904" w:rsidP="00A7073B">
          <w:pPr>
            <w:pStyle w:val="Stopka"/>
            <w:tabs>
              <w:tab w:val="clear" w:pos="4536"/>
              <w:tab w:val="clear" w:pos="9072"/>
            </w:tabs>
            <w:rPr>
              <w:rFonts w:ascii="Arial" w:hAnsi="Arial"/>
              <w:color w:val="808080"/>
              <w:sz w:val="16"/>
              <w:szCs w:val="16"/>
            </w:rPr>
          </w:pPr>
          <w:r>
            <w:rPr>
              <w:rFonts w:ascii="Arial" w:hAnsi="Arial"/>
              <w:color w:val="808080"/>
              <w:sz w:val="16"/>
              <w:szCs w:val="16"/>
            </w:rPr>
            <w:t>fax.: 56 699 54 99</w:t>
          </w:r>
        </w:p>
      </w:tc>
      <w:tc>
        <w:tcPr>
          <w:tcW w:w="853" w:type="dxa"/>
          <w:shd w:val="clear" w:color="auto" w:fill="auto"/>
        </w:tcPr>
        <w:p w:rsidR="008E5904" w:rsidRDefault="008E5904" w:rsidP="00A7073B">
          <w:pPr>
            <w:pStyle w:val="Zawartotabeli"/>
            <w:snapToGrid w:val="0"/>
            <w:jc w:val="center"/>
          </w:pPr>
          <w:r>
            <w:rPr>
              <w:noProof/>
              <w:lang w:eastAsia="pl-PL"/>
            </w:rPr>
            <w:drawing>
              <wp:inline distT="0" distB="0" distL="0" distR="0">
                <wp:extent cx="437515" cy="46101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515" cy="461010"/>
                        </a:xfrm>
                        <a:prstGeom prst="rect">
                          <a:avLst/>
                        </a:prstGeom>
                        <a:solidFill>
                          <a:srgbClr val="FFFFFF"/>
                        </a:solidFill>
                        <a:ln>
                          <a:noFill/>
                        </a:ln>
                      </pic:spPr>
                    </pic:pic>
                  </a:graphicData>
                </a:graphic>
              </wp:inline>
            </w:drawing>
          </w:r>
        </w:p>
      </w:tc>
      <w:tc>
        <w:tcPr>
          <w:tcW w:w="1530" w:type="dxa"/>
          <w:shd w:val="clear" w:color="auto" w:fill="auto"/>
        </w:tcPr>
        <w:p w:rsidR="008E5904" w:rsidRDefault="008E5904" w:rsidP="00A7073B">
          <w:pPr>
            <w:pStyle w:val="Zawartotabeli"/>
            <w:snapToGrid w:val="0"/>
            <w:jc w:val="center"/>
            <w:rPr>
              <w:rFonts w:ascii="Arial" w:hAnsi="Arial"/>
              <w:color w:val="808080"/>
              <w:sz w:val="16"/>
              <w:szCs w:val="16"/>
            </w:rPr>
          </w:pPr>
          <w:r>
            <w:rPr>
              <w:noProof/>
              <w:lang w:eastAsia="pl-PL"/>
            </w:rPr>
            <w:drawing>
              <wp:inline distT="0" distB="0" distL="0" distR="0">
                <wp:extent cx="787400" cy="3898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389890"/>
                        </a:xfrm>
                        <a:prstGeom prst="rect">
                          <a:avLst/>
                        </a:prstGeom>
                        <a:solidFill>
                          <a:srgbClr val="FFFFFF"/>
                        </a:solidFill>
                        <a:ln>
                          <a:noFill/>
                        </a:ln>
                      </pic:spPr>
                    </pic:pic>
                  </a:graphicData>
                </a:graphic>
              </wp:inline>
            </w:drawing>
          </w:r>
        </w:p>
      </w:tc>
      <w:tc>
        <w:tcPr>
          <w:tcW w:w="4347" w:type="dxa"/>
          <w:shd w:val="clear" w:color="auto" w:fill="auto"/>
        </w:tcPr>
        <w:p w:rsidR="008E5904" w:rsidRDefault="008E5904" w:rsidP="00A7073B">
          <w:pPr>
            <w:pStyle w:val="Stopka"/>
            <w:tabs>
              <w:tab w:val="clear" w:pos="4536"/>
              <w:tab w:val="clear" w:pos="9072"/>
            </w:tabs>
            <w:rPr>
              <w:rFonts w:ascii="Arial" w:hAnsi="Arial"/>
              <w:color w:val="808080"/>
              <w:sz w:val="16"/>
              <w:szCs w:val="16"/>
            </w:rPr>
          </w:pPr>
          <w:r>
            <w:rPr>
              <w:rFonts w:ascii="Arial" w:hAnsi="Arial"/>
              <w:color w:val="808080"/>
              <w:sz w:val="16"/>
              <w:szCs w:val="16"/>
            </w:rPr>
            <w:t>Konto Bankowe: 04 1140 1052 0000 3472 1800 1003</w:t>
          </w:r>
        </w:p>
        <w:p w:rsidR="008E5904" w:rsidRDefault="008E5904" w:rsidP="00A7073B">
          <w:pPr>
            <w:pStyle w:val="Stopka"/>
            <w:tabs>
              <w:tab w:val="clear" w:pos="4536"/>
              <w:tab w:val="clear" w:pos="9072"/>
            </w:tabs>
            <w:rPr>
              <w:rFonts w:ascii="Arial" w:hAnsi="Arial"/>
              <w:color w:val="808080"/>
              <w:sz w:val="16"/>
              <w:szCs w:val="16"/>
            </w:rPr>
          </w:pPr>
          <w:r>
            <w:rPr>
              <w:rFonts w:ascii="Arial" w:hAnsi="Arial"/>
              <w:color w:val="808080"/>
              <w:sz w:val="16"/>
              <w:szCs w:val="16"/>
            </w:rPr>
            <w:t>NIP: 956-00-15-177   |   REGON: 870300040   |</w:t>
          </w:r>
        </w:p>
        <w:p w:rsidR="008E5904" w:rsidRDefault="008E5904" w:rsidP="00A7073B">
          <w:pPr>
            <w:pStyle w:val="Stopka"/>
            <w:tabs>
              <w:tab w:val="clear" w:pos="4536"/>
              <w:tab w:val="clear" w:pos="9072"/>
            </w:tabs>
            <w:rPr>
              <w:rFonts w:ascii="Arial" w:hAnsi="Arial"/>
              <w:color w:val="808080"/>
              <w:sz w:val="16"/>
              <w:szCs w:val="16"/>
            </w:rPr>
          </w:pPr>
          <w:r w:rsidRPr="00C452DF">
            <w:rPr>
              <w:rFonts w:ascii="Arial" w:hAnsi="Arial"/>
              <w:color w:val="808080"/>
              <w:sz w:val="16"/>
              <w:szCs w:val="16"/>
            </w:rPr>
            <w:t>Sąd Rejonowy w Toruniu, VII Wydz</w:t>
          </w:r>
          <w:r>
            <w:rPr>
              <w:rFonts w:ascii="Arial" w:hAnsi="Arial"/>
              <w:color w:val="808080"/>
              <w:sz w:val="16"/>
              <w:szCs w:val="16"/>
            </w:rPr>
            <w:t>iał</w:t>
          </w:r>
          <w:r w:rsidRPr="00C452DF">
            <w:rPr>
              <w:rFonts w:ascii="Arial" w:hAnsi="Arial"/>
              <w:color w:val="808080"/>
              <w:sz w:val="16"/>
              <w:szCs w:val="16"/>
            </w:rPr>
            <w:t xml:space="preserve"> Gospodarczy KRS</w:t>
          </w:r>
          <w:r>
            <w:rPr>
              <w:rFonts w:ascii="Arial" w:hAnsi="Arial"/>
              <w:color w:val="808080"/>
              <w:sz w:val="16"/>
              <w:szCs w:val="16"/>
            </w:rPr>
            <w:t>,</w:t>
          </w:r>
        </w:p>
        <w:p w:rsidR="008E5904" w:rsidRDefault="008E5904" w:rsidP="00A7073B">
          <w:pPr>
            <w:pStyle w:val="Stopka"/>
            <w:tabs>
              <w:tab w:val="clear" w:pos="4536"/>
              <w:tab w:val="clear" w:pos="9072"/>
            </w:tabs>
            <w:rPr>
              <w:rFonts w:ascii="Arial" w:hAnsi="Arial"/>
              <w:color w:val="808080"/>
              <w:sz w:val="16"/>
              <w:szCs w:val="16"/>
            </w:rPr>
          </w:pPr>
          <w:r>
            <w:rPr>
              <w:rFonts w:ascii="Arial" w:hAnsi="Arial"/>
              <w:color w:val="808080"/>
              <w:sz w:val="16"/>
              <w:szCs w:val="16"/>
            </w:rPr>
            <w:t>KRS 0000066071</w:t>
          </w:r>
        </w:p>
        <w:p w:rsidR="008E5904" w:rsidRDefault="008E5904" w:rsidP="00A7073B">
          <w:pPr>
            <w:pStyle w:val="Stopka"/>
            <w:tabs>
              <w:tab w:val="clear" w:pos="4536"/>
              <w:tab w:val="clear" w:pos="9072"/>
            </w:tabs>
            <w:rPr>
              <w:rFonts w:ascii="Arial" w:hAnsi="Arial"/>
              <w:color w:val="808080"/>
              <w:sz w:val="16"/>
              <w:szCs w:val="16"/>
            </w:rPr>
          </w:pPr>
          <w:r>
            <w:rPr>
              <w:rFonts w:ascii="Arial" w:hAnsi="Arial"/>
              <w:color w:val="808080"/>
              <w:sz w:val="16"/>
              <w:szCs w:val="16"/>
            </w:rPr>
            <w:t>Kapitał zakładowy: 32 560 000,00 zł, opłacony w całości.</w:t>
          </w:r>
        </w:p>
      </w:tc>
    </w:tr>
  </w:tbl>
  <w:p w:rsidR="008E5904" w:rsidRDefault="008E59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04" w:rsidRDefault="008E5904" w:rsidP="008E5904">
      <w:r>
        <w:separator/>
      </w:r>
    </w:p>
  </w:footnote>
  <w:footnote w:type="continuationSeparator" w:id="0">
    <w:p w:rsidR="008E5904" w:rsidRDefault="008E5904" w:rsidP="008E5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04" w:rsidRDefault="008E5904">
    <w:pPr>
      <w:pStyle w:val="Nagwek"/>
    </w:pPr>
    <w:r w:rsidRPr="002827B6">
      <w:rPr>
        <w:noProof/>
        <w:lang w:eastAsia="pl-PL"/>
      </w:rPr>
      <w:drawing>
        <wp:inline distT="0" distB="0" distL="0" distR="0" wp14:anchorId="5256110F" wp14:editId="4AD94936">
          <wp:extent cx="5760720" cy="79031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03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EAC"/>
    <w:multiLevelType w:val="multilevel"/>
    <w:tmpl w:val="BAB646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E76B66"/>
    <w:multiLevelType w:val="multilevel"/>
    <w:tmpl w:val="F704F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24438D1"/>
    <w:multiLevelType w:val="hybridMultilevel"/>
    <w:tmpl w:val="BFDE51D4"/>
    <w:lvl w:ilvl="0" w:tplc="CBF04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2C4C88"/>
    <w:multiLevelType w:val="multilevel"/>
    <w:tmpl w:val="90AC9C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B97481C"/>
    <w:multiLevelType w:val="multilevel"/>
    <w:tmpl w:val="24E83A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0EE31B1"/>
    <w:multiLevelType w:val="hybridMultilevel"/>
    <w:tmpl w:val="04326884"/>
    <w:lvl w:ilvl="0" w:tplc="5C0A5A70">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75394E08"/>
    <w:multiLevelType w:val="multilevel"/>
    <w:tmpl w:val="7982F9F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4E2023"/>
    <w:multiLevelType w:val="hybridMultilevel"/>
    <w:tmpl w:val="605E69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CB"/>
    <w:rsid w:val="00055419"/>
    <w:rsid w:val="000842C6"/>
    <w:rsid w:val="00095448"/>
    <w:rsid w:val="0013221C"/>
    <w:rsid w:val="0014202A"/>
    <w:rsid w:val="001A1FF1"/>
    <w:rsid w:val="001B64BD"/>
    <w:rsid w:val="001D0F6A"/>
    <w:rsid w:val="001D6C8B"/>
    <w:rsid w:val="001F5E47"/>
    <w:rsid w:val="002808AB"/>
    <w:rsid w:val="002E6CEB"/>
    <w:rsid w:val="003F3D9F"/>
    <w:rsid w:val="003F6B76"/>
    <w:rsid w:val="00504766"/>
    <w:rsid w:val="005B7A34"/>
    <w:rsid w:val="005D5918"/>
    <w:rsid w:val="006369C5"/>
    <w:rsid w:val="00691061"/>
    <w:rsid w:val="0069652F"/>
    <w:rsid w:val="006A34EF"/>
    <w:rsid w:val="00720572"/>
    <w:rsid w:val="00741419"/>
    <w:rsid w:val="00796D5D"/>
    <w:rsid w:val="007C10BF"/>
    <w:rsid w:val="007D1FDD"/>
    <w:rsid w:val="007F2AE1"/>
    <w:rsid w:val="0081497C"/>
    <w:rsid w:val="008547CB"/>
    <w:rsid w:val="008E5904"/>
    <w:rsid w:val="009B6F99"/>
    <w:rsid w:val="00A254C9"/>
    <w:rsid w:val="00B43E63"/>
    <w:rsid w:val="00BE64C5"/>
    <w:rsid w:val="00C42764"/>
    <w:rsid w:val="00D16A67"/>
    <w:rsid w:val="00D95A5B"/>
    <w:rsid w:val="00EF49E5"/>
    <w:rsid w:val="00F07519"/>
    <w:rsid w:val="00F93BC4"/>
    <w:rsid w:val="00FC2936"/>
    <w:rsid w:val="00FE4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7CB"/>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47CB"/>
    <w:pPr>
      <w:ind w:left="720"/>
    </w:pPr>
  </w:style>
  <w:style w:type="character" w:styleId="Uwydatnienie">
    <w:name w:val="Emphasis"/>
    <w:basedOn w:val="Domylnaczcionkaakapitu"/>
    <w:uiPriority w:val="20"/>
    <w:qFormat/>
    <w:rsid w:val="00B43E63"/>
    <w:rPr>
      <w:i/>
      <w:iCs/>
    </w:rPr>
  </w:style>
  <w:style w:type="paragraph" w:styleId="Nagwek">
    <w:name w:val="header"/>
    <w:basedOn w:val="Normalny"/>
    <w:link w:val="NagwekZnak"/>
    <w:uiPriority w:val="99"/>
    <w:unhideWhenUsed/>
    <w:rsid w:val="008E5904"/>
    <w:pPr>
      <w:tabs>
        <w:tab w:val="center" w:pos="4536"/>
        <w:tab w:val="right" w:pos="9072"/>
      </w:tabs>
    </w:pPr>
  </w:style>
  <w:style w:type="character" w:customStyle="1" w:styleId="NagwekZnak">
    <w:name w:val="Nagłówek Znak"/>
    <w:basedOn w:val="Domylnaczcionkaakapitu"/>
    <w:link w:val="Nagwek"/>
    <w:uiPriority w:val="99"/>
    <w:rsid w:val="008E5904"/>
    <w:rPr>
      <w:rFonts w:ascii="Calibri" w:hAnsi="Calibri" w:cs="Times New Roman"/>
    </w:rPr>
  </w:style>
  <w:style w:type="paragraph" w:styleId="Stopka">
    <w:name w:val="footer"/>
    <w:basedOn w:val="Normalny"/>
    <w:link w:val="StopkaZnak"/>
    <w:uiPriority w:val="99"/>
    <w:unhideWhenUsed/>
    <w:rsid w:val="008E5904"/>
    <w:pPr>
      <w:tabs>
        <w:tab w:val="center" w:pos="4536"/>
        <w:tab w:val="right" w:pos="9072"/>
      </w:tabs>
    </w:pPr>
  </w:style>
  <w:style w:type="character" w:customStyle="1" w:styleId="StopkaZnak">
    <w:name w:val="Stopka Znak"/>
    <w:basedOn w:val="Domylnaczcionkaakapitu"/>
    <w:link w:val="Stopka"/>
    <w:uiPriority w:val="99"/>
    <w:rsid w:val="008E5904"/>
    <w:rPr>
      <w:rFonts w:ascii="Calibri" w:hAnsi="Calibri" w:cs="Times New Roman"/>
    </w:rPr>
  </w:style>
  <w:style w:type="paragraph" w:customStyle="1" w:styleId="Zawartotabeli">
    <w:name w:val="Zawartość tabeli"/>
    <w:basedOn w:val="Normalny"/>
    <w:rsid w:val="008E5904"/>
    <w:pPr>
      <w:suppressLineNumbers/>
      <w:suppressAutoHyphens/>
      <w:spacing w:after="200" w:line="276" w:lineRule="auto"/>
    </w:pPr>
    <w:rPr>
      <w:rFonts w:eastAsia="Lucida Sans Unicode" w:cs="font314"/>
      <w:kern w:val="1"/>
      <w:lang w:eastAsia="ar-SA"/>
    </w:rPr>
  </w:style>
  <w:style w:type="paragraph" w:styleId="Tekstdymka">
    <w:name w:val="Balloon Text"/>
    <w:basedOn w:val="Normalny"/>
    <w:link w:val="TekstdymkaZnak"/>
    <w:uiPriority w:val="99"/>
    <w:semiHidden/>
    <w:unhideWhenUsed/>
    <w:rsid w:val="008E5904"/>
    <w:rPr>
      <w:rFonts w:ascii="Tahoma" w:hAnsi="Tahoma" w:cs="Tahoma"/>
      <w:sz w:val="16"/>
      <w:szCs w:val="16"/>
    </w:rPr>
  </w:style>
  <w:style w:type="character" w:customStyle="1" w:styleId="TekstdymkaZnak">
    <w:name w:val="Tekst dymka Znak"/>
    <w:basedOn w:val="Domylnaczcionkaakapitu"/>
    <w:link w:val="Tekstdymka"/>
    <w:uiPriority w:val="99"/>
    <w:semiHidden/>
    <w:rsid w:val="008E5904"/>
    <w:rPr>
      <w:rFonts w:ascii="Tahoma" w:hAnsi="Tahoma" w:cs="Tahoma"/>
      <w:sz w:val="16"/>
      <w:szCs w:val="16"/>
    </w:rPr>
  </w:style>
  <w:style w:type="paragraph" w:styleId="Bezodstpw">
    <w:name w:val="No Spacing"/>
    <w:uiPriority w:val="1"/>
    <w:qFormat/>
    <w:rsid w:val="008E590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7CB"/>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47CB"/>
    <w:pPr>
      <w:ind w:left="720"/>
    </w:pPr>
  </w:style>
  <w:style w:type="character" w:styleId="Uwydatnienie">
    <w:name w:val="Emphasis"/>
    <w:basedOn w:val="Domylnaczcionkaakapitu"/>
    <w:uiPriority w:val="20"/>
    <w:qFormat/>
    <w:rsid w:val="00B43E63"/>
    <w:rPr>
      <w:i/>
      <w:iCs/>
    </w:rPr>
  </w:style>
  <w:style w:type="paragraph" w:styleId="Nagwek">
    <w:name w:val="header"/>
    <w:basedOn w:val="Normalny"/>
    <w:link w:val="NagwekZnak"/>
    <w:uiPriority w:val="99"/>
    <w:unhideWhenUsed/>
    <w:rsid w:val="008E5904"/>
    <w:pPr>
      <w:tabs>
        <w:tab w:val="center" w:pos="4536"/>
        <w:tab w:val="right" w:pos="9072"/>
      </w:tabs>
    </w:pPr>
  </w:style>
  <w:style w:type="character" w:customStyle="1" w:styleId="NagwekZnak">
    <w:name w:val="Nagłówek Znak"/>
    <w:basedOn w:val="Domylnaczcionkaakapitu"/>
    <w:link w:val="Nagwek"/>
    <w:uiPriority w:val="99"/>
    <w:rsid w:val="008E5904"/>
    <w:rPr>
      <w:rFonts w:ascii="Calibri" w:hAnsi="Calibri" w:cs="Times New Roman"/>
    </w:rPr>
  </w:style>
  <w:style w:type="paragraph" w:styleId="Stopka">
    <w:name w:val="footer"/>
    <w:basedOn w:val="Normalny"/>
    <w:link w:val="StopkaZnak"/>
    <w:uiPriority w:val="99"/>
    <w:unhideWhenUsed/>
    <w:rsid w:val="008E5904"/>
    <w:pPr>
      <w:tabs>
        <w:tab w:val="center" w:pos="4536"/>
        <w:tab w:val="right" w:pos="9072"/>
      </w:tabs>
    </w:pPr>
  </w:style>
  <w:style w:type="character" w:customStyle="1" w:styleId="StopkaZnak">
    <w:name w:val="Stopka Znak"/>
    <w:basedOn w:val="Domylnaczcionkaakapitu"/>
    <w:link w:val="Stopka"/>
    <w:uiPriority w:val="99"/>
    <w:rsid w:val="008E5904"/>
    <w:rPr>
      <w:rFonts w:ascii="Calibri" w:hAnsi="Calibri" w:cs="Times New Roman"/>
    </w:rPr>
  </w:style>
  <w:style w:type="paragraph" w:customStyle="1" w:styleId="Zawartotabeli">
    <w:name w:val="Zawartość tabeli"/>
    <w:basedOn w:val="Normalny"/>
    <w:rsid w:val="008E5904"/>
    <w:pPr>
      <w:suppressLineNumbers/>
      <w:suppressAutoHyphens/>
      <w:spacing w:after="200" w:line="276" w:lineRule="auto"/>
    </w:pPr>
    <w:rPr>
      <w:rFonts w:eastAsia="Lucida Sans Unicode" w:cs="font314"/>
      <w:kern w:val="1"/>
      <w:lang w:eastAsia="ar-SA"/>
    </w:rPr>
  </w:style>
  <w:style w:type="paragraph" w:styleId="Tekstdymka">
    <w:name w:val="Balloon Text"/>
    <w:basedOn w:val="Normalny"/>
    <w:link w:val="TekstdymkaZnak"/>
    <w:uiPriority w:val="99"/>
    <w:semiHidden/>
    <w:unhideWhenUsed/>
    <w:rsid w:val="008E5904"/>
    <w:rPr>
      <w:rFonts w:ascii="Tahoma" w:hAnsi="Tahoma" w:cs="Tahoma"/>
      <w:sz w:val="16"/>
      <w:szCs w:val="16"/>
    </w:rPr>
  </w:style>
  <w:style w:type="character" w:customStyle="1" w:styleId="TekstdymkaZnak">
    <w:name w:val="Tekst dymka Znak"/>
    <w:basedOn w:val="Domylnaczcionkaakapitu"/>
    <w:link w:val="Tekstdymka"/>
    <w:uiPriority w:val="99"/>
    <w:semiHidden/>
    <w:rsid w:val="008E5904"/>
    <w:rPr>
      <w:rFonts w:ascii="Tahoma" w:hAnsi="Tahoma" w:cs="Tahoma"/>
      <w:sz w:val="16"/>
      <w:szCs w:val="16"/>
    </w:rPr>
  </w:style>
  <w:style w:type="paragraph" w:styleId="Bezodstpw">
    <w:name w:val="No Spacing"/>
    <w:uiPriority w:val="1"/>
    <w:qFormat/>
    <w:rsid w:val="008E59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2663">
      <w:bodyDiv w:val="1"/>
      <w:marLeft w:val="0"/>
      <w:marRight w:val="0"/>
      <w:marTop w:val="0"/>
      <w:marBottom w:val="0"/>
      <w:divBdr>
        <w:top w:val="none" w:sz="0" w:space="0" w:color="auto"/>
        <w:left w:val="none" w:sz="0" w:space="0" w:color="auto"/>
        <w:bottom w:val="none" w:sz="0" w:space="0" w:color="auto"/>
        <w:right w:val="none" w:sz="0" w:space="0" w:color="auto"/>
      </w:divBdr>
    </w:div>
    <w:div w:id="428352705">
      <w:bodyDiv w:val="1"/>
      <w:marLeft w:val="0"/>
      <w:marRight w:val="0"/>
      <w:marTop w:val="0"/>
      <w:marBottom w:val="0"/>
      <w:divBdr>
        <w:top w:val="none" w:sz="0" w:space="0" w:color="auto"/>
        <w:left w:val="none" w:sz="0" w:space="0" w:color="auto"/>
        <w:bottom w:val="none" w:sz="0" w:space="0" w:color="auto"/>
        <w:right w:val="none" w:sz="0" w:space="0" w:color="auto"/>
      </w:divBdr>
    </w:div>
    <w:div w:id="438449294">
      <w:bodyDiv w:val="1"/>
      <w:marLeft w:val="0"/>
      <w:marRight w:val="0"/>
      <w:marTop w:val="0"/>
      <w:marBottom w:val="0"/>
      <w:divBdr>
        <w:top w:val="none" w:sz="0" w:space="0" w:color="auto"/>
        <w:left w:val="none" w:sz="0" w:space="0" w:color="auto"/>
        <w:bottom w:val="none" w:sz="0" w:space="0" w:color="auto"/>
        <w:right w:val="none" w:sz="0" w:space="0" w:color="auto"/>
      </w:divBdr>
    </w:div>
    <w:div w:id="693924764">
      <w:bodyDiv w:val="1"/>
      <w:marLeft w:val="0"/>
      <w:marRight w:val="0"/>
      <w:marTop w:val="0"/>
      <w:marBottom w:val="0"/>
      <w:divBdr>
        <w:top w:val="none" w:sz="0" w:space="0" w:color="auto"/>
        <w:left w:val="none" w:sz="0" w:space="0" w:color="auto"/>
        <w:bottom w:val="none" w:sz="0" w:space="0" w:color="auto"/>
        <w:right w:val="none" w:sz="0" w:space="0" w:color="auto"/>
      </w:divBdr>
    </w:div>
    <w:div w:id="1117795581">
      <w:bodyDiv w:val="1"/>
      <w:marLeft w:val="0"/>
      <w:marRight w:val="0"/>
      <w:marTop w:val="0"/>
      <w:marBottom w:val="0"/>
      <w:divBdr>
        <w:top w:val="none" w:sz="0" w:space="0" w:color="auto"/>
        <w:left w:val="none" w:sz="0" w:space="0" w:color="auto"/>
        <w:bottom w:val="none" w:sz="0" w:space="0" w:color="auto"/>
        <w:right w:val="none" w:sz="0" w:space="0" w:color="auto"/>
      </w:divBdr>
    </w:div>
    <w:div w:id="1118569167">
      <w:bodyDiv w:val="1"/>
      <w:marLeft w:val="0"/>
      <w:marRight w:val="0"/>
      <w:marTop w:val="0"/>
      <w:marBottom w:val="0"/>
      <w:divBdr>
        <w:top w:val="none" w:sz="0" w:space="0" w:color="auto"/>
        <w:left w:val="none" w:sz="0" w:space="0" w:color="auto"/>
        <w:bottom w:val="none" w:sz="0" w:space="0" w:color="auto"/>
        <w:right w:val="none" w:sz="0" w:space="0" w:color="auto"/>
      </w:divBdr>
    </w:div>
    <w:div w:id="1326275973">
      <w:bodyDiv w:val="1"/>
      <w:marLeft w:val="0"/>
      <w:marRight w:val="0"/>
      <w:marTop w:val="0"/>
      <w:marBottom w:val="0"/>
      <w:divBdr>
        <w:top w:val="none" w:sz="0" w:space="0" w:color="auto"/>
        <w:left w:val="none" w:sz="0" w:space="0" w:color="auto"/>
        <w:bottom w:val="none" w:sz="0" w:space="0" w:color="auto"/>
        <w:right w:val="none" w:sz="0" w:space="0" w:color="auto"/>
      </w:divBdr>
    </w:div>
    <w:div w:id="1414007800">
      <w:bodyDiv w:val="1"/>
      <w:marLeft w:val="0"/>
      <w:marRight w:val="0"/>
      <w:marTop w:val="0"/>
      <w:marBottom w:val="0"/>
      <w:divBdr>
        <w:top w:val="none" w:sz="0" w:space="0" w:color="auto"/>
        <w:left w:val="none" w:sz="0" w:space="0" w:color="auto"/>
        <w:bottom w:val="none" w:sz="0" w:space="0" w:color="auto"/>
        <w:right w:val="none" w:sz="0" w:space="0" w:color="auto"/>
      </w:divBdr>
    </w:div>
    <w:div w:id="1756052639">
      <w:bodyDiv w:val="1"/>
      <w:marLeft w:val="0"/>
      <w:marRight w:val="0"/>
      <w:marTop w:val="0"/>
      <w:marBottom w:val="0"/>
      <w:divBdr>
        <w:top w:val="none" w:sz="0" w:space="0" w:color="auto"/>
        <w:left w:val="none" w:sz="0" w:space="0" w:color="auto"/>
        <w:bottom w:val="none" w:sz="0" w:space="0" w:color="auto"/>
        <w:right w:val="none" w:sz="0" w:space="0" w:color="auto"/>
      </w:divBdr>
    </w:div>
    <w:div w:id="1841653165">
      <w:bodyDiv w:val="1"/>
      <w:marLeft w:val="0"/>
      <w:marRight w:val="0"/>
      <w:marTop w:val="0"/>
      <w:marBottom w:val="0"/>
      <w:divBdr>
        <w:top w:val="none" w:sz="0" w:space="0" w:color="auto"/>
        <w:left w:val="none" w:sz="0" w:space="0" w:color="auto"/>
        <w:bottom w:val="none" w:sz="0" w:space="0" w:color="auto"/>
        <w:right w:val="none" w:sz="0" w:space="0" w:color="auto"/>
      </w:divBdr>
    </w:div>
    <w:div w:id="1852914965">
      <w:bodyDiv w:val="1"/>
      <w:marLeft w:val="0"/>
      <w:marRight w:val="0"/>
      <w:marTop w:val="0"/>
      <w:marBottom w:val="0"/>
      <w:divBdr>
        <w:top w:val="none" w:sz="0" w:space="0" w:color="auto"/>
        <w:left w:val="none" w:sz="0" w:space="0" w:color="auto"/>
        <w:bottom w:val="none" w:sz="0" w:space="0" w:color="auto"/>
        <w:right w:val="none" w:sz="0" w:space="0" w:color="auto"/>
      </w:divBdr>
    </w:div>
    <w:div w:id="20699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4245</Words>
  <Characters>25476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4</cp:revision>
  <cp:lastPrinted>2018-06-28T13:22:00Z</cp:lastPrinted>
  <dcterms:created xsi:type="dcterms:W3CDTF">2018-06-28T13:08:00Z</dcterms:created>
  <dcterms:modified xsi:type="dcterms:W3CDTF">2018-06-28T13:23:00Z</dcterms:modified>
</cp:coreProperties>
</file>