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9B" w:rsidRPr="00A75532" w:rsidRDefault="000D6D9B" w:rsidP="000D6D9B">
      <w:pPr>
        <w:pStyle w:val="Nagwek1"/>
      </w:pPr>
      <w:bookmarkStart w:id="0" w:name="_Toc340140174"/>
      <w:bookmarkStart w:id="1" w:name="_Toc455581235"/>
      <w:bookmarkStart w:id="2" w:name="_GoBack"/>
      <w:bookmarkEnd w:id="2"/>
      <w:r w:rsidRPr="00A75532">
        <w:t>Załącznik nr 1a – Formularz oferty – Zestawienie cenowe</w:t>
      </w:r>
      <w:bookmarkEnd w:id="0"/>
      <w:bookmarkEnd w:id="1"/>
    </w:p>
    <w:p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D6D9B" w:rsidRPr="00DD54EC" w:rsidTr="009803EC">
        <w:tc>
          <w:tcPr>
            <w:tcW w:w="6120" w:type="dxa"/>
          </w:tcPr>
          <w:p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TARRSA/EE/1/2018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0D6D9B" w:rsidRPr="00F87A26" w:rsidRDefault="000D6D9B" w:rsidP="000D6D9B">
      <w:pPr>
        <w:pStyle w:val="Akapitzlist"/>
      </w:pPr>
    </w:p>
    <w:p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:rsidR="000D6D9B" w:rsidRPr="00116B10" w:rsidRDefault="000D6D9B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:rsidTr="009803EC">
        <w:trPr>
          <w:cantSplit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:rsidTr="009803EC">
        <w:trPr>
          <w:cantSplit/>
          <w:trHeight w:val="527"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0D6D9B" w:rsidRDefault="000D6D9B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wykonam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:rsidR="000D6D9B" w:rsidRPr="00764B15" w:rsidRDefault="000D6D9B" w:rsidP="000D6D9B">
      <w:pPr>
        <w:spacing w:before="60" w:after="60"/>
        <w:jc w:val="both"/>
        <w:rPr>
          <w:rFonts w:cs="Calibri"/>
          <w:b/>
          <w:lang w:val="de-DE"/>
        </w:rPr>
      </w:pPr>
      <w:r w:rsidRPr="00764B15">
        <w:rPr>
          <w:rFonts w:cs="Calibri"/>
          <w:b/>
          <w:u w:val="single"/>
          <w:lang w:val="de-DE"/>
        </w:rPr>
        <w:t>Przyłącza na taryfie C21</w:t>
      </w:r>
      <w:r w:rsidRPr="00764B15">
        <w:rPr>
          <w:rFonts w:cs="Calibri"/>
          <w:b/>
          <w:lang w:val="de-DE"/>
        </w:rPr>
        <w:t>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jakościowa – zł/kWh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 w:rsidRPr="00C91B21">
              <w:rPr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 w:rsidRPr="00C91B21">
              <w:rPr>
                <w:color w:val="000000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Rozliczenia odbywać się będą na pods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tawie wskazań układów pomiarowo-</w:t>
            </w: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sz w:val="20"/>
          <w:szCs w:val="20"/>
        </w:rPr>
      </w:pP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*należy wpisać cyfry z zaokrągleniem do czterech miejsc po przecinku</w:t>
      </w: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** należy wpisać cyfry z zaokrągleniem do dwóch miejsc po przecinku</w:t>
      </w:r>
    </w:p>
    <w:p w:rsidR="000D6D9B" w:rsidRPr="008C4E0F" w:rsidRDefault="000D6D9B" w:rsidP="000D6D9B">
      <w:pPr>
        <w:pStyle w:val="Default"/>
        <w:rPr>
          <w:rFonts w:ascii="Calibri" w:hAnsi="Calibri" w:cs="Calibri"/>
          <w:sz w:val="20"/>
          <w:szCs w:val="20"/>
        </w:rPr>
      </w:pPr>
    </w:p>
    <w:p w:rsidR="000D6D9B" w:rsidRPr="00764B15" w:rsidRDefault="000D6D9B" w:rsidP="000D6D9B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764B15">
        <w:rPr>
          <w:rFonts w:ascii="Calibri" w:hAnsi="Calibri" w:cs="Calibri"/>
          <w:b/>
          <w:sz w:val="22"/>
          <w:szCs w:val="22"/>
          <w:u w:val="single"/>
        </w:rPr>
        <w:t>Przyłącza na taryfie C11: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Opłata za obsługę rozliczeń –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Stawka opłaty przejściowej – zł/kW/miesiąc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 tj. </w:t>
      </w:r>
      <w:r>
        <w:rPr>
          <w:rFonts w:ascii="Calibri" w:hAnsi="Calibri" w:cs="Calibri"/>
          <w:sz w:val="20"/>
          <w:szCs w:val="20"/>
        </w:rPr>
        <w:t>24</w:t>
      </w:r>
      <w:r w:rsidRPr="002372E5">
        <w:rPr>
          <w:rFonts w:ascii="Calibri" w:hAnsi="Calibri" w:cs="Calibri"/>
          <w:sz w:val="20"/>
          <w:szCs w:val="20"/>
        </w:rPr>
        <w:t xml:space="preserve"> miesi</w:t>
      </w:r>
      <w:r>
        <w:rPr>
          <w:rFonts w:ascii="Calibri" w:hAnsi="Calibri" w:cs="Calibri"/>
          <w:sz w:val="20"/>
          <w:szCs w:val="20"/>
        </w:rPr>
        <w:t>ące</w:t>
      </w:r>
      <w:r w:rsidRPr="002372E5">
        <w:rPr>
          <w:rFonts w:ascii="Calibri" w:hAnsi="Calibri" w:cs="Calibri"/>
          <w:sz w:val="20"/>
          <w:szCs w:val="20"/>
        </w:rPr>
        <w:t xml:space="preserve">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0D6D9B" w:rsidRPr="002372E5" w:rsidRDefault="000D6D9B" w:rsidP="000D6D9B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0D6D9B" w:rsidRPr="00254DEA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119"/>
      </w:tblGrid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osoby 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3119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D6D9B" w:rsidRDefault="000D6D9B" w:rsidP="000D6D9B"/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9B"/>
    <w:rsid w:val="000D6D9B"/>
    <w:rsid w:val="00903958"/>
    <w:rsid w:val="00A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dcterms:created xsi:type="dcterms:W3CDTF">2018-08-13T06:54:00Z</dcterms:created>
  <dcterms:modified xsi:type="dcterms:W3CDTF">2018-08-13T06:54:00Z</dcterms:modified>
</cp:coreProperties>
</file>